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81384" w14:textId="77777777" w:rsidR="007115DC" w:rsidRDefault="007115DC" w:rsidP="001C3E43">
      <w:pPr>
        <w:spacing w:after="0" w:line="240" w:lineRule="auto"/>
        <w:jc w:val="center"/>
        <w:rPr>
          <w:sz w:val="24"/>
          <w:szCs w:val="24"/>
        </w:rPr>
      </w:pPr>
    </w:p>
    <w:p w14:paraId="287173D0" w14:textId="77777777" w:rsidR="007115DC" w:rsidRDefault="007115DC" w:rsidP="001C3E43">
      <w:pPr>
        <w:spacing w:after="0" w:line="240" w:lineRule="auto"/>
        <w:jc w:val="center"/>
        <w:rPr>
          <w:sz w:val="24"/>
          <w:szCs w:val="24"/>
        </w:rPr>
      </w:pPr>
    </w:p>
    <w:p w14:paraId="2374C9A2" w14:textId="77777777" w:rsidR="007115DC" w:rsidRDefault="007115DC" w:rsidP="001C3E43">
      <w:pPr>
        <w:spacing w:after="0" w:line="240" w:lineRule="auto"/>
        <w:jc w:val="center"/>
        <w:rPr>
          <w:sz w:val="24"/>
          <w:szCs w:val="24"/>
        </w:rPr>
      </w:pPr>
    </w:p>
    <w:p w14:paraId="526801E0" w14:textId="77777777" w:rsidR="007115DC" w:rsidRDefault="007115DC" w:rsidP="001C3E43">
      <w:pPr>
        <w:spacing w:after="0" w:line="240" w:lineRule="auto"/>
        <w:jc w:val="center"/>
        <w:rPr>
          <w:sz w:val="24"/>
          <w:szCs w:val="24"/>
        </w:rPr>
      </w:pPr>
    </w:p>
    <w:p w14:paraId="7B1CC6C9" w14:textId="77777777" w:rsidR="007115DC" w:rsidRDefault="007115DC" w:rsidP="001C3E43">
      <w:pPr>
        <w:spacing w:after="0" w:line="240" w:lineRule="auto"/>
        <w:jc w:val="center"/>
        <w:rPr>
          <w:sz w:val="24"/>
          <w:szCs w:val="24"/>
        </w:rPr>
      </w:pPr>
    </w:p>
    <w:p w14:paraId="1A031A1D" w14:textId="2BFD39E8" w:rsidR="007D00E7" w:rsidRDefault="0083303C" w:rsidP="001C3E43">
      <w:pPr>
        <w:spacing w:after="0" w:line="240" w:lineRule="auto"/>
        <w:jc w:val="center"/>
        <w:rPr>
          <w:sz w:val="24"/>
          <w:szCs w:val="24"/>
        </w:rPr>
      </w:pPr>
      <w:r w:rsidRPr="00AE6522">
        <w:rPr>
          <w:sz w:val="24"/>
          <w:szCs w:val="24"/>
        </w:rPr>
        <w:t>THE U.S. DEPARTMENT OF AGRICULT</w:t>
      </w:r>
      <w:r w:rsidR="007D00E7">
        <w:rPr>
          <w:sz w:val="24"/>
          <w:szCs w:val="24"/>
        </w:rPr>
        <w:t>URE</w:t>
      </w:r>
      <w:r w:rsidR="007D00E7">
        <w:rPr>
          <w:sz w:val="24"/>
          <w:szCs w:val="24"/>
        </w:rPr>
        <w:br/>
        <w:t>FOOD AND NUTRITION SERVICE</w:t>
      </w:r>
    </w:p>
    <w:p w14:paraId="040D7F37" w14:textId="77777777" w:rsidR="007D00E7" w:rsidRDefault="007D00E7" w:rsidP="001C3E43">
      <w:pPr>
        <w:spacing w:after="0" w:line="240" w:lineRule="auto"/>
        <w:jc w:val="center"/>
        <w:rPr>
          <w:sz w:val="24"/>
          <w:szCs w:val="24"/>
        </w:rPr>
      </w:pPr>
    </w:p>
    <w:p w14:paraId="14D608B2" w14:textId="77777777" w:rsidR="007D00E7" w:rsidRDefault="007D00E7" w:rsidP="001C3E43">
      <w:pPr>
        <w:spacing w:after="0" w:line="240" w:lineRule="auto"/>
        <w:jc w:val="center"/>
        <w:rPr>
          <w:sz w:val="24"/>
          <w:szCs w:val="24"/>
        </w:rPr>
      </w:pPr>
    </w:p>
    <w:p w14:paraId="7218527A" w14:textId="77777777" w:rsidR="007D00E7" w:rsidRDefault="007D00E7" w:rsidP="001C3E43">
      <w:pPr>
        <w:spacing w:after="0" w:line="240" w:lineRule="auto"/>
        <w:rPr>
          <w:sz w:val="24"/>
          <w:szCs w:val="24"/>
        </w:rPr>
      </w:pPr>
    </w:p>
    <w:p w14:paraId="2A210CE8" w14:textId="77777777" w:rsidR="007D00E7" w:rsidRDefault="007D00E7" w:rsidP="001C3E43">
      <w:pPr>
        <w:spacing w:after="0" w:line="240" w:lineRule="auto"/>
        <w:rPr>
          <w:sz w:val="24"/>
          <w:szCs w:val="24"/>
        </w:rPr>
      </w:pPr>
    </w:p>
    <w:p w14:paraId="50F8DA0D" w14:textId="77777777" w:rsidR="007D00E7" w:rsidRDefault="007D00E7" w:rsidP="001C3E43">
      <w:pPr>
        <w:spacing w:after="0" w:line="240" w:lineRule="auto"/>
        <w:rPr>
          <w:sz w:val="24"/>
          <w:szCs w:val="24"/>
        </w:rPr>
      </w:pPr>
    </w:p>
    <w:p w14:paraId="75D20048" w14:textId="77777777" w:rsidR="007D00E7" w:rsidRDefault="007D00E7" w:rsidP="001C3E43">
      <w:pPr>
        <w:spacing w:after="0" w:line="240" w:lineRule="auto"/>
        <w:rPr>
          <w:sz w:val="24"/>
          <w:szCs w:val="24"/>
        </w:rPr>
      </w:pPr>
    </w:p>
    <w:p w14:paraId="1461C903" w14:textId="77777777" w:rsidR="007D00E7" w:rsidRDefault="007D00E7" w:rsidP="001C3E43">
      <w:pPr>
        <w:spacing w:after="0" w:line="240" w:lineRule="auto"/>
        <w:rPr>
          <w:sz w:val="24"/>
          <w:szCs w:val="24"/>
        </w:rPr>
      </w:pPr>
    </w:p>
    <w:p w14:paraId="06693F80" w14:textId="77777777" w:rsidR="007D00E7" w:rsidRDefault="007D00E7" w:rsidP="001C3E43">
      <w:pPr>
        <w:spacing w:after="0" w:line="240" w:lineRule="auto"/>
        <w:rPr>
          <w:sz w:val="24"/>
          <w:szCs w:val="24"/>
        </w:rPr>
        <w:sectPr w:rsidR="007D00E7" w:rsidSect="007115DC">
          <w:headerReference w:type="default" r:id="rId9"/>
          <w:footerReference w:type="default" r:id="rId10"/>
          <w:pgSz w:w="12240" w:h="15840"/>
          <w:pgMar w:top="1440" w:right="1440" w:bottom="1440" w:left="1440" w:header="720" w:footer="720" w:gutter="0"/>
          <w:pgNumType w:start="0"/>
          <w:cols w:space="720"/>
          <w:titlePg/>
          <w:docGrid w:linePitch="360"/>
        </w:sectPr>
      </w:pPr>
    </w:p>
    <w:p w14:paraId="0EB5C8F3" w14:textId="77777777" w:rsidR="0083303C" w:rsidRPr="00AE6522" w:rsidRDefault="0083303C" w:rsidP="001C3E43">
      <w:pPr>
        <w:spacing w:after="0" w:line="240" w:lineRule="auto"/>
        <w:rPr>
          <w:sz w:val="24"/>
          <w:szCs w:val="24"/>
        </w:rPr>
      </w:pPr>
      <w:r w:rsidRPr="00AE6522">
        <w:rPr>
          <w:sz w:val="24"/>
          <w:szCs w:val="24"/>
        </w:rPr>
        <w:lastRenderedPageBreak/>
        <w:t>Child and Adult Care Food Program:</w:t>
      </w:r>
    </w:p>
    <w:p w14:paraId="6EEAD5A3" w14:textId="77777777" w:rsidR="0083303C" w:rsidRPr="00AE6522" w:rsidRDefault="0083303C" w:rsidP="001C3E43">
      <w:pPr>
        <w:spacing w:after="0" w:line="240" w:lineRule="auto"/>
        <w:rPr>
          <w:sz w:val="24"/>
          <w:szCs w:val="24"/>
        </w:rPr>
      </w:pPr>
      <w:r w:rsidRPr="00AE6522">
        <w:rPr>
          <w:sz w:val="24"/>
          <w:szCs w:val="24"/>
        </w:rPr>
        <w:t>Meal Pattern Revisions Related to</w:t>
      </w:r>
    </w:p>
    <w:p w14:paraId="4212B35E" w14:textId="77777777" w:rsidR="0083303C" w:rsidRPr="00AE6522" w:rsidRDefault="0083303C" w:rsidP="001C3E43">
      <w:pPr>
        <w:spacing w:after="0" w:line="240" w:lineRule="auto"/>
        <w:rPr>
          <w:sz w:val="24"/>
          <w:szCs w:val="24"/>
        </w:rPr>
      </w:pPr>
      <w:r w:rsidRPr="00AE6522">
        <w:rPr>
          <w:sz w:val="24"/>
          <w:szCs w:val="24"/>
        </w:rPr>
        <w:t xml:space="preserve">Healthy Hunger-Free Kids Act of </w:t>
      </w:r>
    </w:p>
    <w:p w14:paraId="6277FF61" w14:textId="77777777" w:rsidR="0083303C" w:rsidRDefault="0083303C" w:rsidP="001C3E43">
      <w:pPr>
        <w:spacing w:after="0" w:line="240" w:lineRule="auto"/>
        <w:rPr>
          <w:sz w:val="24"/>
          <w:szCs w:val="24"/>
        </w:rPr>
      </w:pPr>
      <w:r w:rsidRPr="00AE6522">
        <w:rPr>
          <w:sz w:val="24"/>
          <w:szCs w:val="24"/>
        </w:rPr>
        <w:t>2010</w:t>
      </w:r>
    </w:p>
    <w:p w14:paraId="308D0B19" w14:textId="77777777" w:rsidR="0083303C" w:rsidRDefault="0083303C" w:rsidP="001C3E43">
      <w:pPr>
        <w:spacing w:after="0" w:line="240" w:lineRule="auto"/>
        <w:rPr>
          <w:sz w:val="24"/>
          <w:szCs w:val="24"/>
        </w:rPr>
      </w:pPr>
      <w:r w:rsidRPr="00AE6522">
        <w:rPr>
          <w:sz w:val="24"/>
          <w:szCs w:val="24"/>
        </w:rPr>
        <w:lastRenderedPageBreak/>
        <w:t>Docket No. FNS-2011-0029</w:t>
      </w:r>
    </w:p>
    <w:p w14:paraId="2DEF9646" w14:textId="77777777" w:rsidR="007D00E7" w:rsidRDefault="007D00E7" w:rsidP="001C3E43">
      <w:pPr>
        <w:spacing w:after="0" w:line="240" w:lineRule="auto"/>
        <w:rPr>
          <w:sz w:val="24"/>
          <w:szCs w:val="24"/>
        </w:rPr>
      </w:pPr>
    </w:p>
    <w:p w14:paraId="5B64CD40" w14:textId="77777777" w:rsidR="007D00E7" w:rsidRDefault="007D00E7" w:rsidP="001C3E43">
      <w:pPr>
        <w:spacing w:after="0" w:line="240" w:lineRule="auto"/>
        <w:rPr>
          <w:sz w:val="24"/>
          <w:szCs w:val="24"/>
        </w:rPr>
      </w:pPr>
    </w:p>
    <w:p w14:paraId="4522F793" w14:textId="77777777" w:rsidR="007D00E7" w:rsidRDefault="007D00E7" w:rsidP="001C3E43">
      <w:pPr>
        <w:spacing w:after="0" w:line="240" w:lineRule="auto"/>
        <w:rPr>
          <w:sz w:val="24"/>
          <w:szCs w:val="24"/>
        </w:rPr>
      </w:pPr>
    </w:p>
    <w:p w14:paraId="6980AEBF" w14:textId="77777777" w:rsidR="007D00E7" w:rsidRDefault="007D00E7" w:rsidP="001C3E43">
      <w:pPr>
        <w:spacing w:after="0" w:line="240" w:lineRule="auto"/>
        <w:rPr>
          <w:sz w:val="24"/>
          <w:szCs w:val="24"/>
        </w:rPr>
        <w:sectPr w:rsidR="007D00E7" w:rsidSect="007D00E7">
          <w:type w:val="continuous"/>
          <w:pgSz w:w="12240" w:h="15840"/>
          <w:pgMar w:top="1440" w:right="1440" w:bottom="1440" w:left="1440" w:header="720" w:footer="720" w:gutter="0"/>
          <w:cols w:num="2" w:space="720"/>
          <w:docGrid w:linePitch="360"/>
        </w:sectPr>
      </w:pPr>
    </w:p>
    <w:p w14:paraId="08BCC841" w14:textId="77777777" w:rsidR="007D00E7" w:rsidRPr="00AE6522" w:rsidRDefault="007D00E7" w:rsidP="001C3E43">
      <w:pPr>
        <w:spacing w:after="0" w:line="240" w:lineRule="auto"/>
        <w:rPr>
          <w:sz w:val="24"/>
          <w:szCs w:val="24"/>
        </w:rPr>
      </w:pPr>
    </w:p>
    <w:p w14:paraId="4D5B2A8C" w14:textId="77777777" w:rsidR="0083303C" w:rsidRDefault="0083303C" w:rsidP="001C3E43">
      <w:pPr>
        <w:spacing w:after="0" w:line="240" w:lineRule="auto"/>
        <w:rPr>
          <w:sz w:val="24"/>
          <w:szCs w:val="24"/>
        </w:rPr>
      </w:pPr>
    </w:p>
    <w:p w14:paraId="3D7C1AE5" w14:textId="77777777" w:rsidR="007D00E7" w:rsidRDefault="007D00E7" w:rsidP="001C3E43">
      <w:pPr>
        <w:spacing w:after="0" w:line="240" w:lineRule="auto"/>
        <w:rPr>
          <w:sz w:val="24"/>
          <w:szCs w:val="24"/>
        </w:rPr>
      </w:pPr>
    </w:p>
    <w:p w14:paraId="5D209B75" w14:textId="77777777" w:rsidR="007D00E7" w:rsidRDefault="007D00E7" w:rsidP="001C3E43">
      <w:pPr>
        <w:spacing w:after="0" w:line="240" w:lineRule="auto"/>
        <w:rPr>
          <w:sz w:val="24"/>
          <w:szCs w:val="24"/>
        </w:rPr>
      </w:pPr>
    </w:p>
    <w:p w14:paraId="46F8B04B" w14:textId="77777777" w:rsidR="007D00E7" w:rsidRDefault="007D00E7" w:rsidP="001C3E43">
      <w:pPr>
        <w:spacing w:after="0" w:line="240" w:lineRule="auto"/>
        <w:rPr>
          <w:sz w:val="24"/>
          <w:szCs w:val="24"/>
        </w:rPr>
      </w:pPr>
    </w:p>
    <w:p w14:paraId="4D901073" w14:textId="77777777" w:rsidR="007D00E7" w:rsidRDefault="007D00E7" w:rsidP="001C3E43">
      <w:pPr>
        <w:spacing w:after="0" w:line="240" w:lineRule="auto"/>
        <w:rPr>
          <w:sz w:val="24"/>
          <w:szCs w:val="24"/>
        </w:rPr>
      </w:pPr>
    </w:p>
    <w:p w14:paraId="2AD3F880" w14:textId="77777777" w:rsidR="007D00E7" w:rsidRDefault="007D00E7" w:rsidP="001C3E43">
      <w:pPr>
        <w:spacing w:after="0" w:line="240" w:lineRule="auto"/>
        <w:rPr>
          <w:sz w:val="24"/>
          <w:szCs w:val="24"/>
        </w:rPr>
      </w:pPr>
    </w:p>
    <w:p w14:paraId="20F10F7B" w14:textId="77777777" w:rsidR="007D00E7" w:rsidRDefault="007D00E7" w:rsidP="001C3E43">
      <w:pPr>
        <w:spacing w:after="0" w:line="240" w:lineRule="auto"/>
        <w:rPr>
          <w:sz w:val="24"/>
          <w:szCs w:val="24"/>
        </w:rPr>
      </w:pPr>
    </w:p>
    <w:p w14:paraId="5AEBB860" w14:textId="77777777" w:rsidR="007D00E7" w:rsidRDefault="007D00E7" w:rsidP="001C3E43">
      <w:pPr>
        <w:spacing w:after="0" w:line="240" w:lineRule="auto"/>
        <w:rPr>
          <w:sz w:val="24"/>
          <w:szCs w:val="24"/>
        </w:rPr>
      </w:pPr>
    </w:p>
    <w:p w14:paraId="200D1AC9" w14:textId="77777777" w:rsidR="007D00E7" w:rsidRPr="00AE6522" w:rsidRDefault="007D00E7" w:rsidP="001C3E43">
      <w:pPr>
        <w:spacing w:after="0" w:line="240" w:lineRule="auto"/>
        <w:rPr>
          <w:sz w:val="24"/>
          <w:szCs w:val="24"/>
        </w:rPr>
      </w:pPr>
    </w:p>
    <w:p w14:paraId="31C957AE" w14:textId="4B3E6306" w:rsidR="0083303C" w:rsidRPr="00274273" w:rsidRDefault="0083303C" w:rsidP="001C3E43">
      <w:pPr>
        <w:spacing w:after="0" w:line="240" w:lineRule="auto"/>
        <w:jc w:val="center"/>
        <w:rPr>
          <w:b/>
          <w:sz w:val="24"/>
          <w:szCs w:val="24"/>
        </w:rPr>
      </w:pPr>
      <w:r w:rsidRPr="00AE6522">
        <w:rPr>
          <w:sz w:val="24"/>
          <w:szCs w:val="24"/>
        </w:rPr>
        <w:t xml:space="preserve">COMMENTS OF </w:t>
      </w:r>
      <w:r w:rsidRPr="00AE6522">
        <w:rPr>
          <w:sz w:val="24"/>
          <w:szCs w:val="24"/>
        </w:rPr>
        <w:br/>
      </w:r>
      <w:r w:rsidR="00274273" w:rsidRPr="00274273">
        <w:rPr>
          <w:b/>
          <w:sz w:val="24"/>
          <w:szCs w:val="24"/>
        </w:rPr>
        <w:t xml:space="preserve">Real Food for Kids </w:t>
      </w:r>
      <w:r w:rsidR="00886248">
        <w:rPr>
          <w:b/>
          <w:sz w:val="24"/>
          <w:szCs w:val="24"/>
        </w:rPr>
        <w:t xml:space="preserve">- </w:t>
      </w:r>
      <w:r w:rsidR="00274273" w:rsidRPr="00274273">
        <w:rPr>
          <w:b/>
          <w:sz w:val="24"/>
          <w:szCs w:val="24"/>
        </w:rPr>
        <w:t>Montgomery</w:t>
      </w:r>
    </w:p>
    <w:p w14:paraId="14356CB4" w14:textId="77777777" w:rsidR="0083303C" w:rsidRPr="00AE6522" w:rsidRDefault="0083303C" w:rsidP="001C3E43">
      <w:pPr>
        <w:spacing w:after="0" w:line="240" w:lineRule="auto"/>
        <w:rPr>
          <w:sz w:val="24"/>
          <w:szCs w:val="24"/>
        </w:rPr>
      </w:pPr>
    </w:p>
    <w:p w14:paraId="6097FB99" w14:textId="77777777" w:rsidR="0083303C" w:rsidRPr="00AE6522" w:rsidRDefault="0083303C" w:rsidP="001C3E43">
      <w:pPr>
        <w:spacing w:after="0" w:line="240" w:lineRule="auto"/>
        <w:rPr>
          <w:sz w:val="24"/>
          <w:szCs w:val="24"/>
        </w:rPr>
      </w:pPr>
    </w:p>
    <w:p w14:paraId="419BFDFD" w14:textId="77777777" w:rsidR="0083303C" w:rsidRPr="00AE6522" w:rsidRDefault="0083303C" w:rsidP="001C3E43">
      <w:pPr>
        <w:spacing w:after="0" w:line="240" w:lineRule="auto"/>
        <w:rPr>
          <w:sz w:val="24"/>
          <w:szCs w:val="24"/>
        </w:rPr>
      </w:pPr>
    </w:p>
    <w:p w14:paraId="186BB1D9" w14:textId="77777777" w:rsidR="0083303C" w:rsidRPr="00AE6522" w:rsidRDefault="0083303C" w:rsidP="001C3E43">
      <w:pPr>
        <w:spacing w:after="0" w:line="240" w:lineRule="auto"/>
        <w:rPr>
          <w:sz w:val="24"/>
          <w:szCs w:val="24"/>
        </w:rPr>
      </w:pPr>
    </w:p>
    <w:p w14:paraId="76928AA0" w14:textId="77777777" w:rsidR="0083303C" w:rsidRPr="00AE6522" w:rsidRDefault="0083303C" w:rsidP="001C3E43">
      <w:pPr>
        <w:spacing w:after="0" w:line="240" w:lineRule="auto"/>
        <w:rPr>
          <w:sz w:val="24"/>
          <w:szCs w:val="24"/>
        </w:rPr>
      </w:pPr>
    </w:p>
    <w:p w14:paraId="2CF6D19B" w14:textId="3369B765" w:rsidR="00274273" w:rsidRPr="00274273" w:rsidRDefault="00274273" w:rsidP="001C3E43">
      <w:pPr>
        <w:spacing w:after="0" w:line="240" w:lineRule="auto"/>
        <w:ind w:left="5040"/>
        <w:rPr>
          <w:rFonts w:cs="Calibri"/>
          <w:sz w:val="24"/>
          <w:szCs w:val="24"/>
        </w:rPr>
      </w:pPr>
      <w:r w:rsidRPr="00274273">
        <w:rPr>
          <w:rFonts w:cs="Calibri"/>
          <w:sz w:val="24"/>
          <w:szCs w:val="24"/>
        </w:rPr>
        <w:t>Lindsey Parsons</w:t>
      </w:r>
      <w:r w:rsidR="005A5AD1">
        <w:rPr>
          <w:rFonts w:cs="Calibri"/>
          <w:sz w:val="24"/>
          <w:szCs w:val="24"/>
        </w:rPr>
        <w:t>, Executive Director</w:t>
      </w:r>
    </w:p>
    <w:p w14:paraId="6EDD1030" w14:textId="5867C410" w:rsidR="0083303C" w:rsidRPr="00274273" w:rsidRDefault="00274273" w:rsidP="001C3E43">
      <w:pPr>
        <w:spacing w:after="0" w:line="240" w:lineRule="auto"/>
        <w:ind w:left="5040"/>
        <w:rPr>
          <w:sz w:val="24"/>
          <w:szCs w:val="24"/>
        </w:rPr>
      </w:pPr>
      <w:r w:rsidRPr="00274273">
        <w:rPr>
          <w:rFonts w:cs="Calibri"/>
          <w:sz w:val="24"/>
          <w:szCs w:val="24"/>
        </w:rPr>
        <w:t>(216) 337-9344</w:t>
      </w:r>
    </w:p>
    <w:p w14:paraId="56CDC5E5" w14:textId="77777777" w:rsidR="005A5AD1" w:rsidRDefault="005A5AD1" w:rsidP="005A5AD1">
      <w:pPr>
        <w:spacing w:after="0" w:line="240" w:lineRule="auto"/>
        <w:rPr>
          <w:rFonts w:cs="Calibri"/>
          <w:sz w:val="24"/>
          <w:szCs w:val="24"/>
        </w:rPr>
      </w:pPr>
    </w:p>
    <w:p w14:paraId="2F2DC506" w14:textId="77777777" w:rsidR="005A5AD1" w:rsidRDefault="005A5AD1" w:rsidP="005A5AD1">
      <w:pPr>
        <w:spacing w:after="0" w:line="240" w:lineRule="auto"/>
        <w:rPr>
          <w:rFonts w:cs="Calibri"/>
          <w:sz w:val="24"/>
          <w:szCs w:val="24"/>
        </w:rPr>
      </w:pPr>
    </w:p>
    <w:p w14:paraId="09EC4110" w14:textId="77777777" w:rsidR="005A5AD1" w:rsidRDefault="005A5AD1" w:rsidP="005A5AD1">
      <w:pPr>
        <w:spacing w:after="0" w:line="240" w:lineRule="auto"/>
        <w:rPr>
          <w:rFonts w:cs="Calibri"/>
          <w:sz w:val="24"/>
          <w:szCs w:val="24"/>
        </w:rPr>
      </w:pPr>
    </w:p>
    <w:p w14:paraId="4788BA09" w14:textId="77777777" w:rsidR="005A5AD1" w:rsidRDefault="005A5AD1" w:rsidP="005A5AD1">
      <w:pPr>
        <w:spacing w:after="0" w:line="240" w:lineRule="auto"/>
        <w:rPr>
          <w:rFonts w:cs="Calibri"/>
          <w:sz w:val="24"/>
          <w:szCs w:val="24"/>
        </w:rPr>
      </w:pPr>
    </w:p>
    <w:p w14:paraId="6355C016" w14:textId="77777777" w:rsidR="005A5AD1" w:rsidRDefault="005A5AD1" w:rsidP="005A5AD1">
      <w:pPr>
        <w:spacing w:after="0" w:line="240" w:lineRule="auto"/>
        <w:rPr>
          <w:rFonts w:cs="Calibri"/>
          <w:sz w:val="24"/>
          <w:szCs w:val="24"/>
        </w:rPr>
      </w:pPr>
    </w:p>
    <w:p w14:paraId="6BB6FD82" w14:textId="77777777" w:rsidR="005A5AD1" w:rsidRDefault="005A5AD1" w:rsidP="005A5AD1">
      <w:pPr>
        <w:spacing w:after="0" w:line="240" w:lineRule="auto"/>
        <w:rPr>
          <w:rFonts w:cs="Calibri"/>
          <w:sz w:val="24"/>
          <w:szCs w:val="24"/>
        </w:rPr>
      </w:pPr>
    </w:p>
    <w:p w14:paraId="6628452F" w14:textId="77777777" w:rsidR="005A5AD1" w:rsidRDefault="005A5AD1" w:rsidP="005A5AD1">
      <w:pPr>
        <w:spacing w:after="0" w:line="240" w:lineRule="auto"/>
        <w:rPr>
          <w:rFonts w:cs="Calibri"/>
          <w:sz w:val="24"/>
          <w:szCs w:val="24"/>
        </w:rPr>
      </w:pPr>
    </w:p>
    <w:p w14:paraId="38A71C70" w14:textId="77777777" w:rsidR="005A5AD1" w:rsidRDefault="005A5AD1" w:rsidP="005A5AD1">
      <w:pPr>
        <w:spacing w:after="0" w:line="240" w:lineRule="auto"/>
        <w:rPr>
          <w:rFonts w:cs="Calibri"/>
          <w:sz w:val="24"/>
          <w:szCs w:val="24"/>
        </w:rPr>
      </w:pPr>
      <w:r>
        <w:rPr>
          <w:rFonts w:cs="Calibri"/>
          <w:sz w:val="24"/>
          <w:szCs w:val="24"/>
        </w:rPr>
        <w:lastRenderedPageBreak/>
        <w:t>Lindsey Parsons, Executive Director</w:t>
      </w:r>
    </w:p>
    <w:p w14:paraId="7DFABA71" w14:textId="77777777" w:rsidR="005A5AD1" w:rsidRDefault="005A5AD1" w:rsidP="005A5AD1">
      <w:pPr>
        <w:spacing w:after="0" w:line="240" w:lineRule="auto"/>
        <w:rPr>
          <w:rFonts w:cs="Calibri"/>
          <w:sz w:val="24"/>
          <w:szCs w:val="24"/>
        </w:rPr>
      </w:pPr>
      <w:r w:rsidRPr="00AB5F05">
        <w:rPr>
          <w:rFonts w:cs="Calibri"/>
          <w:sz w:val="24"/>
          <w:szCs w:val="24"/>
        </w:rPr>
        <w:t xml:space="preserve">Real Food for Kids </w:t>
      </w:r>
      <w:r>
        <w:rPr>
          <w:rFonts w:cs="Calibri"/>
          <w:sz w:val="24"/>
          <w:szCs w:val="24"/>
        </w:rPr>
        <w:t xml:space="preserve">- </w:t>
      </w:r>
      <w:r w:rsidRPr="00AB5F05">
        <w:rPr>
          <w:rFonts w:cs="Calibri"/>
          <w:sz w:val="24"/>
          <w:szCs w:val="24"/>
        </w:rPr>
        <w:t>Montgomery</w:t>
      </w:r>
    </w:p>
    <w:p w14:paraId="16CF8561" w14:textId="77777777" w:rsidR="005A5AD1" w:rsidRDefault="005A5AD1" w:rsidP="005A5AD1">
      <w:pPr>
        <w:spacing w:after="0" w:line="240" w:lineRule="auto"/>
        <w:rPr>
          <w:rFonts w:cs="Calibri"/>
          <w:sz w:val="24"/>
          <w:szCs w:val="24"/>
        </w:rPr>
      </w:pPr>
      <w:r>
        <w:rPr>
          <w:rFonts w:cs="Calibri"/>
          <w:sz w:val="24"/>
          <w:szCs w:val="24"/>
        </w:rPr>
        <w:t>7979 Old Georgetown Road, 10</w:t>
      </w:r>
      <w:r w:rsidRPr="00192C44">
        <w:rPr>
          <w:rFonts w:cs="Calibri"/>
          <w:sz w:val="24"/>
          <w:szCs w:val="24"/>
          <w:vertAlign w:val="superscript"/>
        </w:rPr>
        <w:t>th</w:t>
      </w:r>
      <w:r>
        <w:rPr>
          <w:rFonts w:cs="Calibri"/>
          <w:sz w:val="24"/>
          <w:szCs w:val="24"/>
        </w:rPr>
        <w:t xml:space="preserve"> Floor</w:t>
      </w:r>
    </w:p>
    <w:p w14:paraId="323C852C" w14:textId="77777777" w:rsidR="005A5AD1" w:rsidRPr="00AB5F05" w:rsidRDefault="005A5AD1" w:rsidP="005A5AD1">
      <w:pPr>
        <w:spacing w:after="0" w:line="240" w:lineRule="auto"/>
        <w:rPr>
          <w:rFonts w:cs="Calibri"/>
          <w:sz w:val="24"/>
          <w:szCs w:val="24"/>
          <w:highlight w:val="yellow"/>
        </w:rPr>
      </w:pPr>
      <w:r>
        <w:rPr>
          <w:rFonts w:cs="Calibri"/>
          <w:sz w:val="24"/>
          <w:szCs w:val="24"/>
        </w:rPr>
        <w:t>Bethesda, MD 20814</w:t>
      </w:r>
    </w:p>
    <w:p w14:paraId="1077BDA2" w14:textId="77777777" w:rsidR="005A5AD1" w:rsidRDefault="005A5AD1" w:rsidP="001C3E43">
      <w:pPr>
        <w:spacing w:after="0" w:line="240" w:lineRule="auto"/>
        <w:rPr>
          <w:rFonts w:cs="Calibri"/>
          <w:sz w:val="24"/>
          <w:szCs w:val="24"/>
        </w:rPr>
      </w:pPr>
    </w:p>
    <w:p w14:paraId="31C2E937" w14:textId="72C87D31" w:rsidR="0083303C" w:rsidRPr="00AE6522" w:rsidRDefault="005A5AD1" w:rsidP="001C3E43">
      <w:pPr>
        <w:spacing w:after="0" w:line="240" w:lineRule="auto"/>
        <w:rPr>
          <w:rFonts w:cs="Calibri"/>
          <w:sz w:val="24"/>
          <w:szCs w:val="24"/>
        </w:rPr>
      </w:pPr>
      <w:r>
        <w:rPr>
          <w:rFonts w:cs="Calibri"/>
          <w:sz w:val="24"/>
          <w:szCs w:val="24"/>
        </w:rPr>
        <w:t>May 22</w:t>
      </w:r>
      <w:r w:rsidR="0083303C" w:rsidRPr="00AB5F05">
        <w:rPr>
          <w:rFonts w:cs="Calibri"/>
          <w:sz w:val="24"/>
          <w:szCs w:val="24"/>
        </w:rPr>
        <w:t>, 2015</w:t>
      </w:r>
      <w:r w:rsidR="0083303C" w:rsidRPr="00AE6522">
        <w:rPr>
          <w:rFonts w:cs="Calibri"/>
          <w:sz w:val="24"/>
          <w:szCs w:val="24"/>
        </w:rPr>
        <w:br/>
      </w:r>
    </w:p>
    <w:p w14:paraId="1D79AC7D" w14:textId="77777777" w:rsidR="0083303C" w:rsidRPr="00AE6522" w:rsidRDefault="0083303C" w:rsidP="001C3E43">
      <w:pPr>
        <w:autoSpaceDE w:val="0"/>
        <w:autoSpaceDN w:val="0"/>
        <w:adjustRightInd w:val="0"/>
        <w:spacing w:after="0" w:line="240" w:lineRule="auto"/>
        <w:rPr>
          <w:rFonts w:cs="Calibri"/>
          <w:sz w:val="24"/>
          <w:szCs w:val="24"/>
        </w:rPr>
      </w:pPr>
      <w:r w:rsidRPr="00AE6522">
        <w:rPr>
          <w:rFonts w:cs="Calibri"/>
          <w:sz w:val="24"/>
          <w:szCs w:val="24"/>
        </w:rPr>
        <w:t xml:space="preserve">Tina </w:t>
      </w:r>
      <w:proofErr w:type="spellStart"/>
      <w:r w:rsidRPr="00AE6522">
        <w:rPr>
          <w:rFonts w:cs="Calibri"/>
          <w:sz w:val="24"/>
          <w:szCs w:val="24"/>
        </w:rPr>
        <w:t>Namian</w:t>
      </w:r>
      <w:proofErr w:type="spellEnd"/>
      <w:r w:rsidRPr="00AE6522">
        <w:rPr>
          <w:rFonts w:cs="Calibri"/>
          <w:sz w:val="24"/>
          <w:szCs w:val="24"/>
        </w:rPr>
        <w:br/>
        <w:t>Branch Chief, Policy and Program Development Division, Child Nutrition Programs</w:t>
      </w:r>
      <w:r w:rsidRPr="00AE6522">
        <w:rPr>
          <w:rFonts w:cs="Calibri"/>
          <w:sz w:val="24"/>
          <w:szCs w:val="24"/>
        </w:rPr>
        <w:br/>
        <w:t>Food and Nutrition Service, U.S. Department of Agriculture</w:t>
      </w:r>
      <w:r w:rsidRPr="00AE6522">
        <w:rPr>
          <w:rFonts w:cs="Calibri"/>
          <w:sz w:val="24"/>
          <w:szCs w:val="24"/>
        </w:rPr>
        <w:br/>
        <w:t>3101 Park Center Drive, Room 1206</w:t>
      </w:r>
    </w:p>
    <w:p w14:paraId="5FDAF227" w14:textId="77777777" w:rsidR="0083303C" w:rsidRPr="00AE6522" w:rsidRDefault="0083303C" w:rsidP="001C3E43">
      <w:pPr>
        <w:autoSpaceDE w:val="0"/>
        <w:autoSpaceDN w:val="0"/>
        <w:adjustRightInd w:val="0"/>
        <w:spacing w:after="0" w:line="240" w:lineRule="auto"/>
        <w:rPr>
          <w:rFonts w:cs="Calibri"/>
          <w:sz w:val="24"/>
          <w:szCs w:val="24"/>
        </w:rPr>
      </w:pPr>
      <w:r w:rsidRPr="00AE6522">
        <w:rPr>
          <w:rFonts w:cs="Calibri"/>
          <w:sz w:val="24"/>
          <w:szCs w:val="24"/>
        </w:rPr>
        <w:t>Alexandria, VA 22302</w:t>
      </w:r>
    </w:p>
    <w:p w14:paraId="6D88AB97" w14:textId="77777777" w:rsidR="0083303C" w:rsidRPr="00AE6522" w:rsidRDefault="0083303C" w:rsidP="001C3E43">
      <w:pPr>
        <w:spacing w:after="0" w:line="240" w:lineRule="auto"/>
        <w:rPr>
          <w:rFonts w:cs="Calibri"/>
          <w:sz w:val="24"/>
          <w:szCs w:val="24"/>
        </w:rPr>
      </w:pPr>
    </w:p>
    <w:p w14:paraId="2F2BAF80" w14:textId="77777777" w:rsidR="0083303C" w:rsidRPr="00AE6522" w:rsidRDefault="0083303C" w:rsidP="001C3E43">
      <w:pPr>
        <w:spacing w:after="0" w:line="240" w:lineRule="auto"/>
        <w:rPr>
          <w:rFonts w:cs="Calibri"/>
          <w:sz w:val="24"/>
          <w:szCs w:val="24"/>
        </w:rPr>
      </w:pPr>
      <w:r w:rsidRPr="00AE6522">
        <w:rPr>
          <w:rFonts w:cs="Calibri"/>
          <w:sz w:val="24"/>
          <w:szCs w:val="24"/>
        </w:rPr>
        <w:t xml:space="preserve">Docket ID: </w:t>
      </w:r>
      <w:r w:rsidRPr="00AE6522">
        <w:rPr>
          <w:sz w:val="24"/>
          <w:szCs w:val="24"/>
        </w:rPr>
        <w:t>FNS-2011-0029</w:t>
      </w:r>
    </w:p>
    <w:p w14:paraId="39F88DDA" w14:textId="6E2FFA56" w:rsidR="0083303C" w:rsidRPr="00AE6522" w:rsidRDefault="0083303C" w:rsidP="001C3E43">
      <w:pPr>
        <w:spacing w:after="0" w:line="240" w:lineRule="auto"/>
        <w:rPr>
          <w:sz w:val="24"/>
          <w:szCs w:val="24"/>
        </w:rPr>
      </w:pPr>
      <w:r w:rsidRPr="00AE6522">
        <w:rPr>
          <w:rFonts w:cs="Calibri"/>
          <w:sz w:val="24"/>
          <w:szCs w:val="24"/>
        </w:rPr>
        <w:br/>
        <w:t xml:space="preserve">Re: </w:t>
      </w:r>
      <w:r w:rsidRPr="00AE6522">
        <w:rPr>
          <w:sz w:val="24"/>
          <w:szCs w:val="24"/>
        </w:rPr>
        <w:t>Child and Adult Care Food Program: Meal Pattern Revisions Related to Healthy</w:t>
      </w:r>
      <w:r w:rsidR="00BE296E">
        <w:rPr>
          <w:sz w:val="24"/>
          <w:szCs w:val="24"/>
        </w:rPr>
        <w:t>,</w:t>
      </w:r>
      <w:r w:rsidRPr="00AE6522">
        <w:rPr>
          <w:sz w:val="24"/>
          <w:szCs w:val="24"/>
        </w:rPr>
        <w:t xml:space="preserve"> Hunger-Free Kids Act of 2010</w:t>
      </w:r>
    </w:p>
    <w:p w14:paraId="0F66C18F" w14:textId="77777777" w:rsidR="0083303C" w:rsidRPr="00AE6522" w:rsidRDefault="0083303C" w:rsidP="001C3E43">
      <w:pPr>
        <w:spacing w:after="0" w:line="240" w:lineRule="auto"/>
        <w:rPr>
          <w:rFonts w:cs="Calibri"/>
          <w:sz w:val="24"/>
          <w:szCs w:val="24"/>
        </w:rPr>
      </w:pPr>
    </w:p>
    <w:p w14:paraId="741C4ADC" w14:textId="77777777" w:rsidR="0083303C" w:rsidRPr="00AE6522" w:rsidRDefault="0083303C" w:rsidP="001C3E43">
      <w:pPr>
        <w:spacing w:after="0" w:line="240" w:lineRule="auto"/>
        <w:rPr>
          <w:rFonts w:cs="Calibri"/>
          <w:sz w:val="24"/>
          <w:szCs w:val="24"/>
        </w:rPr>
      </w:pPr>
      <w:r w:rsidRPr="00AE6522">
        <w:rPr>
          <w:rFonts w:cs="Calibri"/>
          <w:sz w:val="24"/>
          <w:szCs w:val="24"/>
        </w:rPr>
        <w:t xml:space="preserve">Dear Ms. </w:t>
      </w:r>
      <w:proofErr w:type="spellStart"/>
      <w:r w:rsidRPr="00AE6522">
        <w:rPr>
          <w:rFonts w:cs="Calibri"/>
          <w:sz w:val="24"/>
          <w:szCs w:val="24"/>
        </w:rPr>
        <w:t>Namian</w:t>
      </w:r>
      <w:proofErr w:type="spellEnd"/>
      <w:r w:rsidRPr="00AE6522">
        <w:rPr>
          <w:rFonts w:cs="Calibri"/>
          <w:sz w:val="24"/>
          <w:szCs w:val="24"/>
        </w:rPr>
        <w:t>:</w:t>
      </w:r>
    </w:p>
    <w:p w14:paraId="7C70D7CC" w14:textId="77777777" w:rsidR="0083303C" w:rsidRPr="00AE6522" w:rsidRDefault="0083303C" w:rsidP="001C3E43">
      <w:pPr>
        <w:spacing w:after="0" w:line="240" w:lineRule="auto"/>
        <w:rPr>
          <w:rFonts w:cs="Calibri"/>
          <w:sz w:val="24"/>
          <w:szCs w:val="24"/>
        </w:rPr>
      </w:pPr>
    </w:p>
    <w:p w14:paraId="25BAEFB7" w14:textId="3894403B" w:rsidR="002A01D7" w:rsidRDefault="00192C44" w:rsidP="001C3E43">
      <w:pPr>
        <w:spacing w:after="0" w:line="240" w:lineRule="auto"/>
        <w:rPr>
          <w:rFonts w:cs="Calibri"/>
          <w:sz w:val="24"/>
          <w:szCs w:val="24"/>
        </w:rPr>
      </w:pPr>
      <w:r>
        <w:rPr>
          <w:rFonts w:cs="Calibri"/>
          <w:sz w:val="24"/>
          <w:szCs w:val="24"/>
        </w:rPr>
        <w:t xml:space="preserve">Real Food for Kids - Montgomery </w:t>
      </w:r>
      <w:r w:rsidR="0083303C" w:rsidRPr="00AE6522">
        <w:rPr>
          <w:rFonts w:cs="Calibri"/>
          <w:sz w:val="24"/>
          <w:szCs w:val="24"/>
        </w:rPr>
        <w:t xml:space="preserve">strongly supports the U.S. Department of Agriculture (USDA), Food and Nutrition Service (FNS) </w:t>
      </w:r>
      <w:r w:rsidR="0083303C" w:rsidRPr="00AE6522">
        <w:rPr>
          <w:sz w:val="24"/>
          <w:szCs w:val="24"/>
        </w:rPr>
        <w:t>proposed rule entitled Child and Adult Care Food Program: Meal Pattern Revisions Related to Healthy</w:t>
      </w:r>
      <w:r w:rsidR="00BE296E">
        <w:rPr>
          <w:sz w:val="24"/>
          <w:szCs w:val="24"/>
        </w:rPr>
        <w:t>,</w:t>
      </w:r>
      <w:r w:rsidR="0083303C" w:rsidRPr="00AE6522">
        <w:rPr>
          <w:sz w:val="24"/>
          <w:szCs w:val="24"/>
        </w:rPr>
        <w:t xml:space="preserve"> Hunger-Free Kids Act of 2010, and respectfully submits the following comments for your consideration</w:t>
      </w:r>
      <w:r w:rsidR="0083303C" w:rsidRPr="00AE6522">
        <w:rPr>
          <w:rFonts w:cs="Calibri"/>
          <w:sz w:val="24"/>
          <w:szCs w:val="24"/>
        </w:rPr>
        <w:t>.</w:t>
      </w:r>
    </w:p>
    <w:p w14:paraId="63AB0F3D" w14:textId="77777777" w:rsidR="002A01D7" w:rsidRDefault="002A01D7" w:rsidP="001C3E43">
      <w:pPr>
        <w:spacing w:after="0" w:line="240" w:lineRule="auto"/>
        <w:rPr>
          <w:rFonts w:cs="Calibri"/>
          <w:sz w:val="24"/>
          <w:szCs w:val="24"/>
        </w:rPr>
      </w:pPr>
    </w:p>
    <w:p w14:paraId="12AF9ABC" w14:textId="62E5667B" w:rsidR="0083303C" w:rsidRDefault="0083303C" w:rsidP="001C3E43">
      <w:pPr>
        <w:autoSpaceDE w:val="0"/>
        <w:autoSpaceDN w:val="0"/>
        <w:adjustRightInd w:val="0"/>
        <w:spacing w:after="0" w:line="240" w:lineRule="auto"/>
        <w:rPr>
          <w:rFonts w:cs="Calibri"/>
          <w:sz w:val="24"/>
          <w:szCs w:val="24"/>
        </w:rPr>
      </w:pPr>
      <w:r w:rsidRPr="00AE6522">
        <w:rPr>
          <w:sz w:val="24"/>
          <w:szCs w:val="24"/>
        </w:rPr>
        <w:t xml:space="preserve">We are delighted that the Healthy, Hunger-Free Kids Act included a focus on improving nutrition and physical activity for young children </w:t>
      </w:r>
      <w:r w:rsidR="000C4B0F">
        <w:rPr>
          <w:sz w:val="24"/>
          <w:szCs w:val="24"/>
        </w:rPr>
        <w:t xml:space="preserve">including </w:t>
      </w:r>
      <w:r w:rsidRPr="00AE6522">
        <w:rPr>
          <w:sz w:val="24"/>
          <w:szCs w:val="24"/>
        </w:rPr>
        <w:t>revisions to the Child and A</w:t>
      </w:r>
      <w:r>
        <w:rPr>
          <w:sz w:val="24"/>
          <w:szCs w:val="24"/>
        </w:rPr>
        <w:t xml:space="preserve">dult Care Food Program (CACFP) and applaud USDA </w:t>
      </w:r>
      <w:r w:rsidR="000C4B0F">
        <w:rPr>
          <w:sz w:val="24"/>
          <w:szCs w:val="24"/>
        </w:rPr>
        <w:t>for</w:t>
      </w:r>
      <w:r>
        <w:rPr>
          <w:sz w:val="24"/>
          <w:szCs w:val="24"/>
        </w:rPr>
        <w:t xml:space="preserve"> making </w:t>
      </w:r>
      <w:r>
        <w:rPr>
          <w:rFonts w:cs="Calibri"/>
          <w:sz w:val="24"/>
          <w:szCs w:val="24"/>
        </w:rPr>
        <w:t xml:space="preserve">the first major update of the CACFP nutrition standards since the program’s inception in 1968. </w:t>
      </w:r>
      <w:r w:rsidR="0092208A">
        <w:rPr>
          <w:rFonts w:cs="Calibri"/>
          <w:sz w:val="24"/>
          <w:szCs w:val="24"/>
        </w:rPr>
        <w:t xml:space="preserve"> </w:t>
      </w:r>
      <w:r w:rsidRPr="00AE6522">
        <w:rPr>
          <w:sz w:val="24"/>
          <w:szCs w:val="24"/>
        </w:rPr>
        <w:t>The strengthening of nutrition standards for the CACFP meals and snacks, paired with funding for training, technical assistance</w:t>
      </w:r>
      <w:r>
        <w:rPr>
          <w:sz w:val="24"/>
          <w:szCs w:val="24"/>
        </w:rPr>
        <w:t>,</w:t>
      </w:r>
      <w:r w:rsidRPr="00AE6522">
        <w:rPr>
          <w:sz w:val="24"/>
          <w:szCs w:val="24"/>
        </w:rPr>
        <w:t xml:space="preserve"> and tools to assist </w:t>
      </w:r>
      <w:r>
        <w:rPr>
          <w:sz w:val="24"/>
          <w:szCs w:val="24"/>
        </w:rPr>
        <w:t>early care and education (</w:t>
      </w:r>
      <w:r w:rsidRPr="00AE6522">
        <w:rPr>
          <w:sz w:val="24"/>
          <w:szCs w:val="24"/>
        </w:rPr>
        <w:t>ECE</w:t>
      </w:r>
      <w:r>
        <w:rPr>
          <w:sz w:val="24"/>
          <w:szCs w:val="24"/>
        </w:rPr>
        <w:t>)</w:t>
      </w:r>
      <w:r w:rsidRPr="00AE6522">
        <w:rPr>
          <w:sz w:val="24"/>
          <w:szCs w:val="24"/>
        </w:rPr>
        <w:t xml:space="preserve"> providers in complying with </w:t>
      </w:r>
      <w:r w:rsidR="000C4B0F">
        <w:rPr>
          <w:sz w:val="24"/>
          <w:szCs w:val="24"/>
        </w:rPr>
        <w:t xml:space="preserve">the </w:t>
      </w:r>
      <w:r w:rsidRPr="00AE6522">
        <w:rPr>
          <w:sz w:val="24"/>
          <w:szCs w:val="24"/>
        </w:rPr>
        <w:t>new standards and promoting wellness among young children, is a major step forward in addressing the health needs of our youngest</w:t>
      </w:r>
      <w:r w:rsidR="000C4B0F">
        <w:rPr>
          <w:sz w:val="24"/>
          <w:szCs w:val="24"/>
        </w:rPr>
        <w:t>,</w:t>
      </w:r>
      <w:r w:rsidRPr="00AE6522">
        <w:rPr>
          <w:sz w:val="24"/>
          <w:szCs w:val="24"/>
        </w:rPr>
        <w:t xml:space="preserve"> and often most vulnerable</w:t>
      </w:r>
      <w:r w:rsidR="000C4B0F">
        <w:rPr>
          <w:sz w:val="24"/>
          <w:szCs w:val="24"/>
        </w:rPr>
        <w:t>,</w:t>
      </w:r>
      <w:r w:rsidRPr="00AE6522">
        <w:rPr>
          <w:sz w:val="24"/>
          <w:szCs w:val="24"/>
        </w:rPr>
        <w:t xml:space="preserve"> children.</w:t>
      </w:r>
      <w:r>
        <w:rPr>
          <w:sz w:val="24"/>
          <w:szCs w:val="24"/>
        </w:rPr>
        <w:t xml:space="preserve"> </w:t>
      </w:r>
      <w:r w:rsidR="0092208A">
        <w:rPr>
          <w:sz w:val="24"/>
          <w:szCs w:val="24"/>
        </w:rPr>
        <w:t xml:space="preserve"> </w:t>
      </w:r>
      <w:r>
        <w:rPr>
          <w:sz w:val="24"/>
          <w:szCs w:val="24"/>
        </w:rPr>
        <w:t xml:space="preserve">Updating the nutrition standards for CACFP will ensure improved </w:t>
      </w:r>
      <w:r w:rsidRPr="006062BE">
        <w:rPr>
          <w:rFonts w:cs="Calibri"/>
          <w:sz w:val="24"/>
          <w:szCs w:val="24"/>
        </w:rPr>
        <w:t>dietary intake and the long-term health of millions of children across the country.</w:t>
      </w:r>
    </w:p>
    <w:p w14:paraId="75CFE7F3" w14:textId="77777777" w:rsidR="0083303C" w:rsidRDefault="0083303C" w:rsidP="001C3E43">
      <w:pPr>
        <w:autoSpaceDE w:val="0"/>
        <w:autoSpaceDN w:val="0"/>
        <w:adjustRightInd w:val="0"/>
        <w:spacing w:after="0" w:line="240" w:lineRule="auto"/>
        <w:rPr>
          <w:rFonts w:cs="Calibri"/>
          <w:sz w:val="24"/>
          <w:szCs w:val="24"/>
        </w:rPr>
      </w:pPr>
    </w:p>
    <w:p w14:paraId="44024452" w14:textId="15C2D603" w:rsidR="0083303C" w:rsidRDefault="0083303C" w:rsidP="001C3E43">
      <w:pPr>
        <w:autoSpaceDE w:val="0"/>
        <w:autoSpaceDN w:val="0"/>
        <w:adjustRightInd w:val="0"/>
        <w:spacing w:after="0" w:line="240" w:lineRule="auto"/>
        <w:rPr>
          <w:sz w:val="24"/>
          <w:szCs w:val="24"/>
        </w:rPr>
      </w:pPr>
      <w:r w:rsidRPr="006D2071">
        <w:rPr>
          <w:sz w:val="24"/>
          <w:szCs w:val="24"/>
        </w:rPr>
        <w:t xml:space="preserve">It is clear that in developing this proposed rule, USDA carefully considered </w:t>
      </w:r>
      <w:r w:rsidR="000C4B0F">
        <w:rPr>
          <w:sz w:val="24"/>
          <w:szCs w:val="24"/>
        </w:rPr>
        <w:t xml:space="preserve">expert recommendations, </w:t>
      </w:r>
      <w:r w:rsidRPr="006D2071">
        <w:rPr>
          <w:sz w:val="24"/>
          <w:szCs w:val="24"/>
        </w:rPr>
        <w:t>existing models, state, local, and industry standards</w:t>
      </w:r>
      <w:r w:rsidR="000C4B0F">
        <w:rPr>
          <w:sz w:val="24"/>
          <w:szCs w:val="24"/>
        </w:rPr>
        <w:t>,</w:t>
      </w:r>
      <w:r w:rsidRPr="006D2071">
        <w:rPr>
          <w:sz w:val="24"/>
          <w:szCs w:val="24"/>
        </w:rPr>
        <w:t xml:space="preserve"> and the practical application of the standards</w:t>
      </w:r>
      <w:r w:rsidR="00CC68B4">
        <w:rPr>
          <w:sz w:val="24"/>
          <w:szCs w:val="24"/>
        </w:rPr>
        <w:t>—i</w:t>
      </w:r>
      <w:r w:rsidRPr="006D2071">
        <w:rPr>
          <w:sz w:val="24"/>
          <w:szCs w:val="24"/>
        </w:rPr>
        <w:t xml:space="preserve">ncluding costs for providers. </w:t>
      </w:r>
    </w:p>
    <w:p w14:paraId="2603DF1F" w14:textId="77777777" w:rsidR="00040316" w:rsidRDefault="00040316" w:rsidP="001C3E43">
      <w:pPr>
        <w:autoSpaceDE w:val="0"/>
        <w:autoSpaceDN w:val="0"/>
        <w:adjustRightInd w:val="0"/>
        <w:spacing w:after="0" w:line="240" w:lineRule="auto"/>
        <w:rPr>
          <w:sz w:val="24"/>
          <w:szCs w:val="24"/>
        </w:rPr>
      </w:pPr>
    </w:p>
    <w:p w14:paraId="7D938039" w14:textId="77777777" w:rsidR="00040316" w:rsidRDefault="00040316" w:rsidP="001C3E43">
      <w:pPr>
        <w:autoSpaceDE w:val="0"/>
        <w:autoSpaceDN w:val="0"/>
        <w:adjustRightInd w:val="0"/>
        <w:spacing w:after="0" w:line="240" w:lineRule="auto"/>
        <w:rPr>
          <w:sz w:val="24"/>
          <w:szCs w:val="24"/>
        </w:rPr>
      </w:pPr>
      <w:r>
        <w:rPr>
          <w:sz w:val="24"/>
          <w:szCs w:val="24"/>
        </w:rPr>
        <w:t>We offer the following comments regarding the proposed rule.</w:t>
      </w:r>
    </w:p>
    <w:p w14:paraId="1EAB145A" w14:textId="77777777" w:rsidR="007D00E7" w:rsidRPr="007D00E7" w:rsidRDefault="007D00E7" w:rsidP="001C3E43">
      <w:pPr>
        <w:autoSpaceDE w:val="0"/>
        <w:autoSpaceDN w:val="0"/>
        <w:adjustRightInd w:val="0"/>
        <w:spacing w:after="0" w:line="240" w:lineRule="auto"/>
        <w:rPr>
          <w:sz w:val="24"/>
          <w:szCs w:val="24"/>
        </w:rPr>
      </w:pPr>
    </w:p>
    <w:p w14:paraId="24388E19" w14:textId="77777777" w:rsidR="00D05422" w:rsidRDefault="00D05422" w:rsidP="001C3E43">
      <w:pPr>
        <w:spacing w:after="0" w:line="240" w:lineRule="auto"/>
        <w:rPr>
          <w:b/>
          <w:sz w:val="24"/>
          <w:szCs w:val="24"/>
        </w:rPr>
      </w:pPr>
      <w:r w:rsidRPr="00D05422">
        <w:rPr>
          <w:b/>
          <w:sz w:val="24"/>
          <w:szCs w:val="24"/>
        </w:rPr>
        <w:t>Proposed Meal Pattern Changes</w:t>
      </w:r>
    </w:p>
    <w:p w14:paraId="28B020E9" w14:textId="77777777" w:rsidR="00543D1F" w:rsidRPr="00D05422" w:rsidRDefault="007115DC" w:rsidP="001C3E43">
      <w:pPr>
        <w:tabs>
          <w:tab w:val="left" w:pos="8504"/>
        </w:tabs>
        <w:spacing w:after="0" w:line="240" w:lineRule="auto"/>
        <w:rPr>
          <w:b/>
          <w:sz w:val="24"/>
          <w:szCs w:val="24"/>
        </w:rPr>
      </w:pPr>
      <w:r>
        <w:rPr>
          <w:b/>
          <w:sz w:val="24"/>
          <w:szCs w:val="24"/>
        </w:rPr>
        <w:tab/>
      </w:r>
    </w:p>
    <w:p w14:paraId="07EB5D98" w14:textId="77777777" w:rsidR="0008127F" w:rsidRDefault="00D528D1" w:rsidP="001C3E43">
      <w:pPr>
        <w:spacing w:after="0" w:line="240" w:lineRule="auto"/>
        <w:rPr>
          <w:b/>
          <w:i/>
          <w:sz w:val="24"/>
          <w:szCs w:val="24"/>
        </w:rPr>
      </w:pPr>
      <w:r w:rsidRPr="00D05422">
        <w:rPr>
          <w:b/>
          <w:i/>
          <w:sz w:val="24"/>
          <w:szCs w:val="24"/>
        </w:rPr>
        <w:lastRenderedPageBreak/>
        <w:t>Infant Meal Patterns</w:t>
      </w:r>
    </w:p>
    <w:p w14:paraId="6B72469D" w14:textId="77777777" w:rsidR="00543D1F" w:rsidRPr="00D05422" w:rsidRDefault="00543D1F" w:rsidP="001C3E43">
      <w:pPr>
        <w:spacing w:after="0" w:line="240" w:lineRule="auto"/>
        <w:rPr>
          <w:b/>
          <w:i/>
          <w:sz w:val="24"/>
          <w:szCs w:val="24"/>
        </w:rPr>
      </w:pPr>
    </w:p>
    <w:p w14:paraId="1A0BF04B" w14:textId="77777777" w:rsidR="00D528D1" w:rsidRPr="00D05422" w:rsidRDefault="00267CB9" w:rsidP="001C3E43">
      <w:pPr>
        <w:spacing w:after="0" w:line="240" w:lineRule="auto"/>
        <w:rPr>
          <w:sz w:val="24"/>
          <w:szCs w:val="24"/>
          <w:u w:val="single"/>
        </w:rPr>
      </w:pPr>
      <w:r>
        <w:rPr>
          <w:sz w:val="24"/>
          <w:szCs w:val="24"/>
          <w:u w:val="single"/>
        </w:rPr>
        <w:t>Fruits and Vegetables</w:t>
      </w:r>
    </w:p>
    <w:p w14:paraId="570E3F71" w14:textId="7AE15C35" w:rsidR="00C34B32" w:rsidRDefault="00267CB9" w:rsidP="001C3E43">
      <w:pPr>
        <w:spacing w:after="0" w:line="240" w:lineRule="auto"/>
        <w:rPr>
          <w:rFonts w:ascii="Calibri" w:hAnsi="Calibri" w:cs="Calibri"/>
          <w:color w:val="000000"/>
          <w:sz w:val="20"/>
          <w:szCs w:val="20"/>
        </w:rPr>
      </w:pPr>
      <w:r w:rsidRPr="00267CB9">
        <w:rPr>
          <w:rFonts w:cs="Times New Roman"/>
          <w:color w:val="000000"/>
          <w:sz w:val="24"/>
          <w:szCs w:val="24"/>
        </w:rPr>
        <w:t>We support USDA’s proposal to require a fruit or vegetable serving in the snack meal pattern for the 6 through 11 month age group and eliminate fruit juice fro</w:t>
      </w:r>
      <w:r>
        <w:rPr>
          <w:rFonts w:cs="Times New Roman"/>
          <w:color w:val="000000"/>
          <w:sz w:val="24"/>
          <w:szCs w:val="24"/>
        </w:rPr>
        <w:t>m the meal pattern for infants.</w:t>
      </w:r>
      <w:r w:rsidR="00D05422" w:rsidRPr="00267CB9">
        <w:rPr>
          <w:sz w:val="24"/>
          <w:szCs w:val="24"/>
        </w:rPr>
        <w:t xml:space="preserve"> </w:t>
      </w:r>
      <w:r w:rsidR="0092208A">
        <w:rPr>
          <w:sz w:val="24"/>
          <w:szCs w:val="24"/>
        </w:rPr>
        <w:t xml:space="preserve"> </w:t>
      </w:r>
      <w:r w:rsidRPr="00267CB9">
        <w:rPr>
          <w:sz w:val="24"/>
          <w:szCs w:val="24"/>
        </w:rPr>
        <w:t xml:space="preserve">Evidence suggests that fruit juice is </w:t>
      </w:r>
      <w:r w:rsidR="00CF744C">
        <w:rPr>
          <w:sz w:val="24"/>
          <w:szCs w:val="24"/>
        </w:rPr>
        <w:t>a</w:t>
      </w:r>
      <w:r w:rsidR="00CC68B4">
        <w:rPr>
          <w:sz w:val="24"/>
          <w:szCs w:val="24"/>
        </w:rPr>
        <w:t xml:space="preserve"> top contributor to children’s </w:t>
      </w:r>
      <w:r w:rsidRPr="00267CB9">
        <w:rPr>
          <w:sz w:val="24"/>
          <w:szCs w:val="24"/>
        </w:rPr>
        <w:t>calorie</w:t>
      </w:r>
      <w:r w:rsidR="00CF744C">
        <w:rPr>
          <w:sz w:val="24"/>
          <w:szCs w:val="24"/>
        </w:rPr>
        <w:t xml:space="preserve"> </w:t>
      </w:r>
      <w:proofErr w:type="gramStart"/>
      <w:r w:rsidR="00CF744C">
        <w:rPr>
          <w:sz w:val="24"/>
          <w:szCs w:val="24"/>
        </w:rPr>
        <w:t>intake</w:t>
      </w:r>
      <w:r w:rsidRPr="00267CB9">
        <w:rPr>
          <w:sz w:val="24"/>
          <w:szCs w:val="24"/>
        </w:rPr>
        <w:t>.</w:t>
      </w:r>
      <w:r w:rsidRPr="00267CB9">
        <w:rPr>
          <w:rStyle w:val="FootnoteReference"/>
          <w:sz w:val="24"/>
          <w:szCs w:val="24"/>
        </w:rPr>
        <w:footnoteReference w:id="1"/>
      </w:r>
      <w:r w:rsidR="00705479">
        <w:rPr>
          <w:sz w:val="24"/>
          <w:szCs w:val="24"/>
          <w:vertAlign w:val="superscript"/>
        </w:rPr>
        <w:t>,</w:t>
      </w:r>
      <w:proofErr w:type="gramEnd"/>
      <w:r w:rsidR="00705479" w:rsidRPr="00705479">
        <w:rPr>
          <w:rStyle w:val="FootnoteReference"/>
          <w:rFonts w:cs="Times New Roman"/>
          <w:color w:val="000000"/>
          <w:sz w:val="24"/>
          <w:szCs w:val="24"/>
        </w:rPr>
        <w:t xml:space="preserve"> </w:t>
      </w:r>
      <w:r w:rsidR="00705479">
        <w:rPr>
          <w:rStyle w:val="FootnoteReference"/>
          <w:rFonts w:cs="Times New Roman"/>
          <w:color w:val="000000"/>
          <w:sz w:val="24"/>
          <w:szCs w:val="24"/>
        </w:rPr>
        <w:footnoteReference w:id="2"/>
      </w:r>
      <w:r w:rsidRPr="00267CB9">
        <w:rPr>
          <w:sz w:val="24"/>
          <w:szCs w:val="24"/>
        </w:rPr>
        <w:t xml:space="preserve"> </w:t>
      </w:r>
      <w:r w:rsidR="0092208A">
        <w:rPr>
          <w:sz w:val="24"/>
          <w:szCs w:val="24"/>
        </w:rPr>
        <w:t xml:space="preserve"> </w:t>
      </w:r>
      <w:r>
        <w:rPr>
          <w:sz w:val="24"/>
          <w:szCs w:val="24"/>
        </w:rPr>
        <w:t>In addition, c</w:t>
      </w:r>
      <w:r w:rsidRPr="00267CB9">
        <w:rPr>
          <w:rFonts w:cs="Times New Roman"/>
          <w:color w:val="000000"/>
          <w:sz w:val="24"/>
          <w:szCs w:val="24"/>
        </w:rPr>
        <w:t xml:space="preserve">hildren and </w:t>
      </w:r>
      <w:r>
        <w:rPr>
          <w:rFonts w:cs="Times New Roman"/>
          <w:color w:val="000000"/>
          <w:sz w:val="24"/>
          <w:szCs w:val="24"/>
        </w:rPr>
        <w:t>adolescents do not consume the r</w:t>
      </w:r>
      <w:r w:rsidRPr="00267CB9">
        <w:rPr>
          <w:rFonts w:cs="Times New Roman"/>
          <w:color w:val="000000"/>
          <w:sz w:val="24"/>
          <w:szCs w:val="24"/>
        </w:rPr>
        <w:t xml:space="preserve">ecommended amounts or variety of fruits and vegetables. </w:t>
      </w:r>
      <w:r w:rsidR="0092208A">
        <w:rPr>
          <w:rFonts w:cs="Times New Roman"/>
          <w:color w:val="000000"/>
          <w:sz w:val="24"/>
          <w:szCs w:val="24"/>
        </w:rPr>
        <w:t xml:space="preserve"> </w:t>
      </w:r>
      <w:r w:rsidRPr="00267CB9">
        <w:rPr>
          <w:rFonts w:cs="Times New Roman"/>
          <w:color w:val="000000"/>
          <w:sz w:val="24"/>
          <w:szCs w:val="24"/>
        </w:rPr>
        <w:t>They consume more fruit juice and less whole fruit and more starchy vegetables and less dark green and orange vegetables and legumes than recommended</w:t>
      </w:r>
      <w:r>
        <w:rPr>
          <w:rFonts w:cs="Times New Roman"/>
          <w:color w:val="000000"/>
          <w:sz w:val="24"/>
          <w:szCs w:val="24"/>
        </w:rPr>
        <w:t>.</w:t>
      </w:r>
      <w:r w:rsidR="00705479">
        <w:rPr>
          <w:rStyle w:val="FootnoteReference"/>
          <w:rFonts w:cs="Times New Roman"/>
          <w:color w:val="000000"/>
          <w:sz w:val="24"/>
          <w:szCs w:val="24"/>
        </w:rPr>
        <w:footnoteReference w:id="3"/>
      </w:r>
      <w:r>
        <w:rPr>
          <w:rFonts w:cs="Times New Roman"/>
          <w:color w:val="000000"/>
          <w:sz w:val="24"/>
          <w:szCs w:val="24"/>
        </w:rPr>
        <w:t xml:space="preserve"> </w:t>
      </w:r>
      <w:r w:rsidR="0092208A">
        <w:rPr>
          <w:rFonts w:cs="Times New Roman"/>
          <w:color w:val="000000"/>
          <w:sz w:val="24"/>
          <w:szCs w:val="24"/>
        </w:rPr>
        <w:t xml:space="preserve"> </w:t>
      </w:r>
      <w:r w:rsidRPr="00267CB9">
        <w:rPr>
          <w:rFonts w:cs="Times New Roman"/>
          <w:color w:val="000000"/>
          <w:sz w:val="24"/>
          <w:szCs w:val="24"/>
        </w:rPr>
        <w:t xml:space="preserve">This proposal </w:t>
      </w:r>
      <w:r w:rsidR="00CF744C">
        <w:rPr>
          <w:rFonts w:cs="Times New Roman"/>
          <w:color w:val="000000"/>
          <w:sz w:val="24"/>
          <w:szCs w:val="24"/>
        </w:rPr>
        <w:t xml:space="preserve">would </w:t>
      </w:r>
      <w:r w:rsidRPr="00267CB9">
        <w:rPr>
          <w:rFonts w:cs="Times New Roman"/>
          <w:color w:val="000000"/>
          <w:sz w:val="24"/>
          <w:szCs w:val="24"/>
        </w:rPr>
        <w:t>help</w:t>
      </w:r>
      <w:r w:rsidR="00CF744C">
        <w:rPr>
          <w:rFonts w:cs="Times New Roman"/>
          <w:color w:val="000000"/>
          <w:sz w:val="24"/>
          <w:szCs w:val="24"/>
        </w:rPr>
        <w:t xml:space="preserve"> to</w:t>
      </w:r>
      <w:r w:rsidRPr="00267CB9">
        <w:rPr>
          <w:rFonts w:cs="Times New Roman"/>
          <w:color w:val="000000"/>
          <w:sz w:val="24"/>
          <w:szCs w:val="24"/>
        </w:rPr>
        <w:t xml:space="preserve"> ensure </w:t>
      </w:r>
      <w:r w:rsidR="00CF744C">
        <w:rPr>
          <w:rFonts w:cs="Times New Roman"/>
          <w:color w:val="000000"/>
          <w:sz w:val="24"/>
          <w:szCs w:val="24"/>
        </w:rPr>
        <w:t xml:space="preserve">that </w:t>
      </w:r>
      <w:r w:rsidRPr="00267CB9">
        <w:rPr>
          <w:rFonts w:cs="Times New Roman"/>
          <w:color w:val="000000"/>
          <w:sz w:val="24"/>
          <w:szCs w:val="24"/>
        </w:rPr>
        <w:t xml:space="preserve">infants are provided more access to a variety of fruits and vegetables, </w:t>
      </w:r>
      <w:r w:rsidR="00CF744C">
        <w:rPr>
          <w:rFonts w:cs="Times New Roman"/>
          <w:color w:val="000000"/>
          <w:sz w:val="24"/>
          <w:szCs w:val="24"/>
        </w:rPr>
        <w:t xml:space="preserve">helping to </w:t>
      </w:r>
      <w:r w:rsidRPr="00267CB9">
        <w:rPr>
          <w:rFonts w:cs="Times New Roman"/>
          <w:color w:val="000000"/>
          <w:sz w:val="24"/>
          <w:szCs w:val="24"/>
        </w:rPr>
        <w:t>set the stage for better acceptance later in life.</w:t>
      </w:r>
      <w:r>
        <w:rPr>
          <w:rFonts w:cs="Times New Roman"/>
          <w:color w:val="000000"/>
          <w:sz w:val="24"/>
          <w:szCs w:val="24"/>
        </w:rPr>
        <w:t xml:space="preserve"> </w:t>
      </w:r>
      <w:r w:rsidR="0092208A">
        <w:rPr>
          <w:rFonts w:cs="Times New Roman"/>
          <w:color w:val="000000"/>
          <w:sz w:val="24"/>
          <w:szCs w:val="24"/>
        </w:rPr>
        <w:t xml:space="preserve"> </w:t>
      </w:r>
      <w:r w:rsidRPr="00267CB9">
        <w:rPr>
          <w:rFonts w:cs="Times New Roman"/>
          <w:color w:val="000000"/>
          <w:sz w:val="24"/>
          <w:szCs w:val="24"/>
        </w:rPr>
        <w:t xml:space="preserve">The proposal is consistent with the practices of many CACFP state agencies. </w:t>
      </w:r>
      <w:r w:rsidR="0092208A">
        <w:rPr>
          <w:rFonts w:cs="Times New Roman"/>
          <w:color w:val="000000"/>
          <w:sz w:val="24"/>
          <w:szCs w:val="24"/>
        </w:rPr>
        <w:t xml:space="preserve"> </w:t>
      </w:r>
      <w:r w:rsidRPr="00267CB9">
        <w:rPr>
          <w:rFonts w:cs="Times New Roman"/>
          <w:color w:val="000000"/>
          <w:sz w:val="24"/>
          <w:szCs w:val="24"/>
        </w:rPr>
        <w:t>Rhode Island and Mississippi, for example, restrict the practice of providing juice to infants through child care regulations</w:t>
      </w:r>
      <w:proofErr w:type="gramStart"/>
      <w:r>
        <w:rPr>
          <w:rFonts w:cs="Times New Roman"/>
          <w:color w:val="000000"/>
          <w:sz w:val="24"/>
          <w:szCs w:val="24"/>
        </w:rPr>
        <w:t>.</w:t>
      </w:r>
      <w:r>
        <w:rPr>
          <w:rStyle w:val="FootnoteReference"/>
          <w:rFonts w:cs="Times New Roman"/>
          <w:color w:val="000000"/>
          <w:sz w:val="24"/>
          <w:szCs w:val="24"/>
        </w:rPr>
        <w:footnoteReference w:id="4"/>
      </w:r>
      <w:r>
        <w:rPr>
          <w:rFonts w:cs="Times New Roman"/>
          <w:color w:val="000000"/>
          <w:sz w:val="24"/>
          <w:szCs w:val="24"/>
          <w:vertAlign w:val="superscript"/>
        </w:rPr>
        <w:t>,</w:t>
      </w:r>
      <w:proofErr w:type="gramEnd"/>
      <w:r>
        <w:rPr>
          <w:rStyle w:val="FootnoteReference"/>
          <w:rFonts w:cs="Times New Roman"/>
          <w:color w:val="000000"/>
          <w:sz w:val="24"/>
          <w:szCs w:val="24"/>
        </w:rPr>
        <w:footnoteReference w:id="5"/>
      </w:r>
      <w:r w:rsidR="00C34B32" w:rsidRPr="00267CB9">
        <w:rPr>
          <w:rFonts w:cs="Times New Roman"/>
          <w:color w:val="000000"/>
          <w:sz w:val="24"/>
          <w:szCs w:val="24"/>
        </w:rPr>
        <w:t xml:space="preserve">  </w:t>
      </w:r>
    </w:p>
    <w:p w14:paraId="58A4B5DB" w14:textId="77777777" w:rsidR="00543D1F" w:rsidRPr="00D05422" w:rsidRDefault="00543D1F" w:rsidP="001C3E43">
      <w:pPr>
        <w:spacing w:after="0" w:line="240" w:lineRule="auto"/>
        <w:rPr>
          <w:sz w:val="24"/>
          <w:szCs w:val="24"/>
        </w:rPr>
      </w:pPr>
    </w:p>
    <w:p w14:paraId="41E16A4D" w14:textId="342ECD25" w:rsidR="00D528D1" w:rsidRPr="007115DC" w:rsidRDefault="00D528D1" w:rsidP="001C3E43">
      <w:pPr>
        <w:spacing w:after="0" w:line="240" w:lineRule="auto"/>
        <w:rPr>
          <w:sz w:val="24"/>
          <w:szCs w:val="24"/>
        </w:rPr>
      </w:pPr>
      <w:r w:rsidRPr="007115DC">
        <w:rPr>
          <w:sz w:val="24"/>
          <w:szCs w:val="24"/>
          <w:u w:val="single"/>
        </w:rPr>
        <w:t>Breastfeeding</w:t>
      </w:r>
      <w:r w:rsidR="007115DC" w:rsidRPr="007115DC">
        <w:rPr>
          <w:sz w:val="24"/>
          <w:szCs w:val="24"/>
        </w:rPr>
        <w:t xml:space="preserve"> </w:t>
      </w:r>
    </w:p>
    <w:p w14:paraId="3C519C3C" w14:textId="4C87F6A5" w:rsidR="002831C3" w:rsidRPr="002831C3" w:rsidRDefault="002831C3" w:rsidP="001C3E43">
      <w:pPr>
        <w:spacing w:after="0" w:line="240" w:lineRule="auto"/>
        <w:rPr>
          <w:sz w:val="24"/>
          <w:szCs w:val="24"/>
        </w:rPr>
      </w:pPr>
      <w:r>
        <w:rPr>
          <w:sz w:val="24"/>
          <w:szCs w:val="24"/>
        </w:rPr>
        <w:t>We applaud</w:t>
      </w:r>
      <w:r w:rsidRPr="002831C3">
        <w:rPr>
          <w:sz w:val="24"/>
          <w:szCs w:val="24"/>
        </w:rPr>
        <w:t xml:space="preserve"> USDA for including provisions in the proposed rule to promote breastfeeding in CACFP. </w:t>
      </w:r>
      <w:r w:rsidR="008368D6" w:rsidRPr="008368D6">
        <w:rPr>
          <w:sz w:val="24"/>
          <w:szCs w:val="24"/>
        </w:rPr>
        <w:t>The American Academy of Pediat</w:t>
      </w:r>
      <w:r w:rsidR="00EC16BA">
        <w:rPr>
          <w:sz w:val="24"/>
          <w:szCs w:val="24"/>
        </w:rPr>
        <w:t>rics recommend</w:t>
      </w:r>
      <w:r w:rsidR="00CC68B4">
        <w:rPr>
          <w:sz w:val="24"/>
          <w:szCs w:val="24"/>
        </w:rPr>
        <w:t xml:space="preserve">s </w:t>
      </w:r>
      <w:r w:rsidR="008368D6" w:rsidRPr="008368D6">
        <w:rPr>
          <w:sz w:val="24"/>
          <w:szCs w:val="24"/>
        </w:rPr>
        <w:t>exclusive breastfeeding for approximately six months,</w:t>
      </w:r>
      <w:r w:rsidR="008368D6">
        <w:rPr>
          <w:sz w:val="24"/>
          <w:szCs w:val="24"/>
        </w:rPr>
        <w:t xml:space="preserve"> </w:t>
      </w:r>
      <w:r w:rsidRPr="002831C3">
        <w:rPr>
          <w:sz w:val="24"/>
          <w:szCs w:val="24"/>
        </w:rPr>
        <w:t>followed by continued breastfeeding as complementary foods are introduced, with continuation of breastfeeding for 1 year or longer as mutua</w:t>
      </w:r>
      <w:r>
        <w:rPr>
          <w:sz w:val="24"/>
          <w:szCs w:val="24"/>
        </w:rPr>
        <w:t>lly desired by mother and infant.</w:t>
      </w:r>
      <w:r>
        <w:rPr>
          <w:rStyle w:val="FootnoteReference"/>
          <w:sz w:val="24"/>
          <w:szCs w:val="24"/>
        </w:rPr>
        <w:footnoteReference w:id="6"/>
      </w:r>
      <w:r w:rsidRPr="002831C3">
        <w:rPr>
          <w:sz w:val="24"/>
          <w:szCs w:val="24"/>
        </w:rPr>
        <w:t xml:space="preserve"> The benefits of breastfeeding to mothers and babies are well-established. Infants who are breastfed are healthier, and breastfeeding is associated with fewer respiratory infections; fewer episodes of diarrhea, pneumonia, and ear infections; and reduced risk of later asthma, obesity, and sudden infant death syndrome. </w:t>
      </w:r>
    </w:p>
    <w:p w14:paraId="5BE342BB" w14:textId="0AC830F0" w:rsidR="008368D6" w:rsidRPr="008368D6" w:rsidRDefault="002831C3" w:rsidP="001C3E43">
      <w:pPr>
        <w:spacing w:after="0" w:line="240" w:lineRule="auto"/>
        <w:rPr>
          <w:sz w:val="24"/>
          <w:szCs w:val="24"/>
        </w:rPr>
      </w:pPr>
      <w:r w:rsidRPr="002831C3">
        <w:rPr>
          <w:sz w:val="24"/>
          <w:szCs w:val="24"/>
        </w:rPr>
        <w:t xml:space="preserve"> </w:t>
      </w:r>
      <w:r w:rsidR="008368D6" w:rsidRPr="008368D6">
        <w:rPr>
          <w:sz w:val="24"/>
          <w:szCs w:val="24"/>
        </w:rPr>
        <w:t xml:space="preserve">  </w:t>
      </w:r>
      <w:r w:rsidR="008368D6" w:rsidRPr="008368D6">
        <w:rPr>
          <w:sz w:val="24"/>
          <w:szCs w:val="24"/>
        </w:rPr>
        <w:br/>
        <w:t>As USDA works to finalize the proposed rule, we strongly encourage USDA to maintain the allowance that any child care facility receive reimbursement for meals when the mother directly breastfeeds her child at the child care facility. As this provision is implemented, we</w:t>
      </w:r>
      <w:r w:rsidR="00CC68B4">
        <w:rPr>
          <w:sz w:val="24"/>
          <w:szCs w:val="24"/>
        </w:rPr>
        <w:t xml:space="preserve"> encourage USDA to make it less</w:t>
      </w:r>
      <w:r w:rsidR="008368D6" w:rsidRPr="008368D6">
        <w:rPr>
          <w:sz w:val="24"/>
          <w:szCs w:val="24"/>
        </w:rPr>
        <w:t xml:space="preserve"> burdensome on providers while ensuring that regulations</w:t>
      </w:r>
      <w:r w:rsidR="00813953">
        <w:rPr>
          <w:sz w:val="24"/>
          <w:szCs w:val="24"/>
        </w:rPr>
        <w:t xml:space="preserve"> include instructions that </w:t>
      </w:r>
      <w:r w:rsidR="008368D6" w:rsidRPr="008368D6">
        <w:rPr>
          <w:sz w:val="24"/>
          <w:szCs w:val="24"/>
        </w:rPr>
        <w:t>providers respect a mother’s right to public accommodation for breastfeeding and that mothers are not directed to breastfeeding locations that are unc</w:t>
      </w:r>
      <w:r w:rsidR="00813953">
        <w:rPr>
          <w:sz w:val="24"/>
          <w:szCs w:val="24"/>
        </w:rPr>
        <w:t>omfortable or unsanitary (e.g. a</w:t>
      </w:r>
      <w:r w:rsidR="008368D6" w:rsidRPr="008368D6">
        <w:rPr>
          <w:sz w:val="24"/>
          <w:szCs w:val="24"/>
        </w:rPr>
        <w:t xml:space="preserve"> bathroom). Please include a positive and affirmative statement that seeing other mothers breastfeed is healthy for children and consistent with the U</w:t>
      </w:r>
      <w:r w:rsidR="00813953">
        <w:rPr>
          <w:sz w:val="24"/>
          <w:szCs w:val="24"/>
        </w:rPr>
        <w:t>.</w:t>
      </w:r>
      <w:r w:rsidR="008368D6" w:rsidRPr="008368D6">
        <w:rPr>
          <w:sz w:val="24"/>
          <w:szCs w:val="24"/>
        </w:rPr>
        <w:t>S</w:t>
      </w:r>
      <w:r w:rsidR="00813953">
        <w:rPr>
          <w:sz w:val="24"/>
          <w:szCs w:val="24"/>
        </w:rPr>
        <w:t>.</w:t>
      </w:r>
      <w:r w:rsidR="008368D6" w:rsidRPr="008368D6">
        <w:rPr>
          <w:sz w:val="24"/>
          <w:szCs w:val="24"/>
        </w:rPr>
        <w:t xml:space="preserve"> Su</w:t>
      </w:r>
      <w:r w:rsidR="00813953">
        <w:rPr>
          <w:sz w:val="24"/>
          <w:szCs w:val="24"/>
        </w:rPr>
        <w:t>rgeon General's Call to Action o</w:t>
      </w:r>
      <w:r w:rsidR="008368D6" w:rsidRPr="008368D6">
        <w:rPr>
          <w:sz w:val="24"/>
          <w:szCs w:val="24"/>
        </w:rPr>
        <w:t>n removing barriers to breastfeeding.</w:t>
      </w:r>
      <w:r w:rsidR="008368D6">
        <w:rPr>
          <w:rStyle w:val="FootnoteReference"/>
          <w:sz w:val="24"/>
          <w:szCs w:val="24"/>
        </w:rPr>
        <w:footnoteReference w:id="7"/>
      </w:r>
    </w:p>
    <w:p w14:paraId="3883D85A" w14:textId="77777777" w:rsidR="008368D6" w:rsidRPr="008368D6" w:rsidRDefault="008368D6" w:rsidP="001C3E43">
      <w:pPr>
        <w:spacing w:after="0" w:line="240" w:lineRule="auto"/>
        <w:rPr>
          <w:sz w:val="24"/>
          <w:szCs w:val="24"/>
        </w:rPr>
      </w:pPr>
    </w:p>
    <w:p w14:paraId="350FB50F" w14:textId="77777777" w:rsidR="008368D6" w:rsidRPr="008368D6" w:rsidRDefault="008368D6" w:rsidP="001C3E43">
      <w:pPr>
        <w:spacing w:after="0" w:line="240" w:lineRule="auto"/>
        <w:rPr>
          <w:sz w:val="24"/>
          <w:szCs w:val="24"/>
        </w:rPr>
      </w:pPr>
      <w:r w:rsidRPr="008368D6">
        <w:rPr>
          <w:sz w:val="24"/>
          <w:szCs w:val="24"/>
        </w:rPr>
        <w:t>We further encourage USDA to ensure that the regulation is clear that reimbursement is allowable for children at any age. There is no reason reimbursement should stop at 6 months.</w:t>
      </w:r>
    </w:p>
    <w:p w14:paraId="36A1DB6A" w14:textId="77777777" w:rsidR="008368D6" w:rsidRPr="008368D6" w:rsidRDefault="008368D6" w:rsidP="001C3E43">
      <w:pPr>
        <w:spacing w:after="0" w:line="240" w:lineRule="auto"/>
        <w:rPr>
          <w:sz w:val="24"/>
          <w:szCs w:val="24"/>
        </w:rPr>
      </w:pPr>
    </w:p>
    <w:p w14:paraId="427BE9C4" w14:textId="7A6B389D" w:rsidR="002831C3" w:rsidRDefault="008368D6" w:rsidP="001C3E43">
      <w:pPr>
        <w:spacing w:after="0" w:line="240" w:lineRule="auto"/>
        <w:rPr>
          <w:sz w:val="24"/>
          <w:szCs w:val="24"/>
        </w:rPr>
      </w:pPr>
      <w:r w:rsidRPr="008368D6">
        <w:rPr>
          <w:sz w:val="24"/>
          <w:szCs w:val="24"/>
        </w:rPr>
        <w:t>Finally, an additional best practice to highlight, is the importance of communication between mother and provider regarding the timing of the last feed, which is key to making direct breastfeeding at the end of the day work for all parties.</w:t>
      </w:r>
    </w:p>
    <w:p w14:paraId="1FE1B569" w14:textId="77777777" w:rsidR="002831C3" w:rsidRPr="00D05422" w:rsidRDefault="002831C3" w:rsidP="001C3E43">
      <w:pPr>
        <w:spacing w:after="0" w:line="240" w:lineRule="auto"/>
        <w:rPr>
          <w:sz w:val="24"/>
          <w:szCs w:val="24"/>
        </w:rPr>
      </w:pPr>
    </w:p>
    <w:p w14:paraId="7FFD43FC" w14:textId="77777777" w:rsidR="00D528D1" w:rsidRDefault="00D528D1" w:rsidP="001C3E43">
      <w:pPr>
        <w:spacing w:after="0" w:line="240" w:lineRule="auto"/>
        <w:rPr>
          <w:b/>
          <w:i/>
          <w:sz w:val="24"/>
          <w:szCs w:val="24"/>
        </w:rPr>
      </w:pPr>
      <w:r w:rsidRPr="00D05422">
        <w:rPr>
          <w:b/>
          <w:i/>
          <w:sz w:val="24"/>
          <w:szCs w:val="24"/>
        </w:rPr>
        <w:t>Child and Adult Meal Patterns</w:t>
      </w:r>
    </w:p>
    <w:p w14:paraId="32262983" w14:textId="77777777" w:rsidR="004B194B" w:rsidRPr="00D05422" w:rsidRDefault="004B194B" w:rsidP="001C3E43">
      <w:pPr>
        <w:spacing w:after="0" w:line="240" w:lineRule="auto"/>
        <w:rPr>
          <w:b/>
          <w:i/>
          <w:sz w:val="24"/>
          <w:szCs w:val="24"/>
        </w:rPr>
      </w:pPr>
    </w:p>
    <w:p w14:paraId="7D134FF1" w14:textId="6E598FE5" w:rsidR="00D528D1" w:rsidRDefault="00D528D1" w:rsidP="001C3E43">
      <w:pPr>
        <w:spacing w:after="0" w:line="240" w:lineRule="auto"/>
        <w:rPr>
          <w:sz w:val="24"/>
          <w:szCs w:val="24"/>
          <w:u w:val="single"/>
        </w:rPr>
      </w:pPr>
      <w:r w:rsidRPr="00D05422">
        <w:rPr>
          <w:sz w:val="24"/>
          <w:szCs w:val="24"/>
          <w:u w:val="single"/>
        </w:rPr>
        <w:t>Separate Fruit and Vegetable Component</w:t>
      </w:r>
      <w:r w:rsidR="00C27DAA" w:rsidRPr="00C27DAA">
        <w:rPr>
          <w:sz w:val="24"/>
          <w:szCs w:val="24"/>
        </w:rPr>
        <w:t xml:space="preserve"> </w:t>
      </w:r>
    </w:p>
    <w:p w14:paraId="0BB8B7AD" w14:textId="1B690080" w:rsidR="003B600E" w:rsidRPr="003B600E" w:rsidRDefault="00055387" w:rsidP="001C3E43">
      <w:pPr>
        <w:spacing w:after="0" w:line="240" w:lineRule="auto"/>
        <w:rPr>
          <w:sz w:val="24"/>
          <w:szCs w:val="24"/>
        </w:rPr>
      </w:pPr>
      <w:r>
        <w:rPr>
          <w:sz w:val="24"/>
          <w:szCs w:val="24"/>
        </w:rPr>
        <w:t xml:space="preserve">We support separating fruits and vegetables into two separate meal components. </w:t>
      </w:r>
      <w:r w:rsidR="003B18FB">
        <w:rPr>
          <w:sz w:val="24"/>
          <w:szCs w:val="24"/>
        </w:rPr>
        <w:t xml:space="preserve"> </w:t>
      </w:r>
      <w:r>
        <w:rPr>
          <w:sz w:val="24"/>
          <w:szCs w:val="24"/>
        </w:rPr>
        <w:t xml:space="preserve">Separating fruits and vegetables is a step in the right direction, as it </w:t>
      </w:r>
      <w:r w:rsidR="007E1B38">
        <w:rPr>
          <w:sz w:val="24"/>
          <w:szCs w:val="24"/>
        </w:rPr>
        <w:t xml:space="preserve">would </w:t>
      </w:r>
      <w:r>
        <w:rPr>
          <w:sz w:val="24"/>
          <w:szCs w:val="24"/>
        </w:rPr>
        <w:t xml:space="preserve">allow for greater opportunities </w:t>
      </w:r>
      <w:r w:rsidR="00813FE5">
        <w:rPr>
          <w:sz w:val="24"/>
          <w:szCs w:val="24"/>
        </w:rPr>
        <w:t>for</w:t>
      </w:r>
      <w:r>
        <w:rPr>
          <w:sz w:val="24"/>
          <w:szCs w:val="24"/>
        </w:rPr>
        <w:t xml:space="preserve"> fruit and vegetable consumption at snack and aligns with the National School Lunch Program. </w:t>
      </w:r>
      <w:r w:rsidR="003B18FB">
        <w:rPr>
          <w:sz w:val="24"/>
          <w:szCs w:val="24"/>
        </w:rPr>
        <w:t xml:space="preserve"> </w:t>
      </w:r>
      <w:r w:rsidR="003B600E" w:rsidRPr="003B600E">
        <w:rPr>
          <w:sz w:val="24"/>
          <w:szCs w:val="24"/>
        </w:rPr>
        <w:t xml:space="preserve">We recommend strengthening the proposed change by allowing the option to serve two vegetables for lunch </w:t>
      </w:r>
      <w:r w:rsidR="00080191">
        <w:rPr>
          <w:sz w:val="24"/>
          <w:szCs w:val="24"/>
        </w:rPr>
        <w:t xml:space="preserve">or supper </w:t>
      </w:r>
      <w:r w:rsidR="003B600E" w:rsidRPr="003B600E">
        <w:rPr>
          <w:sz w:val="24"/>
          <w:szCs w:val="24"/>
        </w:rPr>
        <w:t xml:space="preserve">rather than a fruit and a vegetable. </w:t>
      </w:r>
      <w:r w:rsidR="003B18FB">
        <w:rPr>
          <w:sz w:val="24"/>
          <w:szCs w:val="24"/>
        </w:rPr>
        <w:t xml:space="preserve"> </w:t>
      </w:r>
      <w:r w:rsidR="003B600E" w:rsidRPr="003B600E">
        <w:rPr>
          <w:sz w:val="24"/>
          <w:szCs w:val="24"/>
        </w:rPr>
        <w:t xml:space="preserve">This would strengthen the proposed change by helping to bring vegetable consumption closer to the Dietary </w:t>
      </w:r>
      <w:r>
        <w:rPr>
          <w:sz w:val="24"/>
          <w:szCs w:val="24"/>
        </w:rPr>
        <w:t>Guidelines for Americans—as was mentioned above, c</w:t>
      </w:r>
      <w:r w:rsidR="003B600E" w:rsidRPr="003B600E">
        <w:rPr>
          <w:sz w:val="24"/>
          <w:szCs w:val="24"/>
        </w:rPr>
        <w:t xml:space="preserve">hildren </w:t>
      </w:r>
      <w:r w:rsidR="007E1B38">
        <w:rPr>
          <w:sz w:val="24"/>
          <w:szCs w:val="24"/>
        </w:rPr>
        <w:t xml:space="preserve">generally </w:t>
      </w:r>
      <w:r w:rsidR="003B600E" w:rsidRPr="003B600E">
        <w:rPr>
          <w:sz w:val="24"/>
          <w:szCs w:val="24"/>
        </w:rPr>
        <w:t>do not consume enough vegetables.</w:t>
      </w:r>
      <w:r w:rsidR="00705479">
        <w:rPr>
          <w:rStyle w:val="FootnoteReference"/>
          <w:sz w:val="24"/>
          <w:szCs w:val="24"/>
        </w:rPr>
        <w:footnoteReference w:id="8"/>
      </w:r>
      <w:r>
        <w:rPr>
          <w:sz w:val="24"/>
          <w:szCs w:val="24"/>
        </w:rPr>
        <w:t xml:space="preserve"> </w:t>
      </w:r>
      <w:r w:rsidR="003B18FB">
        <w:rPr>
          <w:sz w:val="24"/>
          <w:szCs w:val="24"/>
        </w:rPr>
        <w:t xml:space="preserve"> </w:t>
      </w:r>
      <w:r>
        <w:rPr>
          <w:sz w:val="24"/>
          <w:szCs w:val="24"/>
        </w:rPr>
        <w:t>This change also could</w:t>
      </w:r>
      <w:r w:rsidR="003B600E" w:rsidRPr="003B600E">
        <w:rPr>
          <w:sz w:val="24"/>
          <w:szCs w:val="24"/>
        </w:rPr>
        <w:t xml:space="preserve"> potentially help to reduce the offering of</w:t>
      </w:r>
      <w:r>
        <w:rPr>
          <w:sz w:val="24"/>
          <w:szCs w:val="24"/>
        </w:rPr>
        <w:t xml:space="preserve"> juice as the fruit serving for meals</w:t>
      </w:r>
      <w:r w:rsidR="007E1B38">
        <w:rPr>
          <w:sz w:val="24"/>
          <w:szCs w:val="24"/>
        </w:rPr>
        <w:t xml:space="preserve">; </w:t>
      </w:r>
      <w:r>
        <w:rPr>
          <w:sz w:val="24"/>
          <w:szCs w:val="24"/>
        </w:rPr>
        <w:t>o</w:t>
      </w:r>
      <w:r w:rsidR="003B600E" w:rsidRPr="003B600E">
        <w:rPr>
          <w:sz w:val="24"/>
          <w:szCs w:val="24"/>
        </w:rPr>
        <w:t>verconsumption of fruit juice is a common problem</w:t>
      </w:r>
      <w:r>
        <w:rPr>
          <w:sz w:val="24"/>
          <w:szCs w:val="24"/>
        </w:rPr>
        <w:t>, as we outline below</w:t>
      </w:r>
      <w:r w:rsidR="003B600E" w:rsidRPr="003B600E">
        <w:rPr>
          <w:sz w:val="24"/>
          <w:szCs w:val="24"/>
        </w:rPr>
        <w:t xml:space="preserve">. It </w:t>
      </w:r>
      <w:r>
        <w:rPr>
          <w:sz w:val="24"/>
          <w:szCs w:val="24"/>
        </w:rPr>
        <w:t xml:space="preserve">also would </w:t>
      </w:r>
      <w:r w:rsidR="003B600E" w:rsidRPr="003B600E">
        <w:rPr>
          <w:sz w:val="24"/>
          <w:szCs w:val="24"/>
        </w:rPr>
        <w:t>allow flexibility to</w:t>
      </w:r>
      <w:r w:rsidR="007E1B38">
        <w:rPr>
          <w:sz w:val="24"/>
          <w:szCs w:val="24"/>
        </w:rPr>
        <w:t xml:space="preserve"> take advantage of</w:t>
      </w:r>
      <w:r w:rsidR="003B600E" w:rsidRPr="003B600E">
        <w:rPr>
          <w:sz w:val="24"/>
          <w:szCs w:val="24"/>
        </w:rPr>
        <w:t xml:space="preserve"> local and seasonal availability of vegetables.  </w:t>
      </w:r>
    </w:p>
    <w:p w14:paraId="486B28E3" w14:textId="77777777" w:rsidR="003B600E" w:rsidRPr="003B600E" w:rsidRDefault="003B600E" w:rsidP="001C3E43">
      <w:pPr>
        <w:spacing w:after="0" w:line="240" w:lineRule="auto"/>
        <w:rPr>
          <w:sz w:val="24"/>
          <w:szCs w:val="24"/>
        </w:rPr>
      </w:pPr>
      <w:r w:rsidRPr="003B600E">
        <w:rPr>
          <w:sz w:val="24"/>
          <w:szCs w:val="24"/>
        </w:rPr>
        <w:t xml:space="preserve"> </w:t>
      </w:r>
    </w:p>
    <w:p w14:paraId="7CE677EE" w14:textId="5237975F" w:rsidR="003B600E" w:rsidRDefault="003B600E" w:rsidP="001C3E43">
      <w:pPr>
        <w:spacing w:after="0" w:line="240" w:lineRule="auto"/>
        <w:rPr>
          <w:sz w:val="24"/>
          <w:szCs w:val="24"/>
        </w:rPr>
      </w:pPr>
      <w:r w:rsidRPr="003B600E">
        <w:rPr>
          <w:sz w:val="24"/>
          <w:szCs w:val="24"/>
        </w:rPr>
        <w:t>Ideally, we would like to increase the quantity of fruit (1/4 cup) to be equal to that of vegetables (1/2 cup) for children ages 6-13</w:t>
      </w:r>
      <w:r w:rsidR="00055387">
        <w:rPr>
          <w:sz w:val="24"/>
          <w:szCs w:val="24"/>
        </w:rPr>
        <w:t xml:space="preserve"> years old</w:t>
      </w:r>
      <w:r w:rsidRPr="003B600E">
        <w:rPr>
          <w:sz w:val="24"/>
          <w:szCs w:val="24"/>
        </w:rPr>
        <w:t xml:space="preserve"> to better align with the Dietary Guid</w:t>
      </w:r>
      <w:r w:rsidR="00E25E47">
        <w:rPr>
          <w:sz w:val="24"/>
          <w:szCs w:val="24"/>
        </w:rPr>
        <w:t>elines for Americans and the Institute of Medicine (IOM)</w:t>
      </w:r>
      <w:r w:rsidRPr="003B600E">
        <w:rPr>
          <w:sz w:val="24"/>
          <w:szCs w:val="24"/>
        </w:rPr>
        <w:t xml:space="preserve"> recommendations.</w:t>
      </w:r>
      <w:r w:rsidR="00502F8B">
        <w:rPr>
          <w:rStyle w:val="FootnoteReference"/>
          <w:sz w:val="24"/>
          <w:szCs w:val="24"/>
        </w:rPr>
        <w:footnoteReference w:id="9"/>
      </w:r>
      <w:r w:rsidR="00055387">
        <w:rPr>
          <w:sz w:val="24"/>
          <w:szCs w:val="24"/>
          <w:vertAlign w:val="superscript"/>
        </w:rPr>
        <w:t>,</w:t>
      </w:r>
      <w:r w:rsidR="00055387">
        <w:rPr>
          <w:rStyle w:val="FootnoteReference"/>
          <w:sz w:val="24"/>
          <w:szCs w:val="24"/>
        </w:rPr>
        <w:footnoteReference w:id="10"/>
      </w:r>
      <w:r w:rsidRPr="003B600E">
        <w:rPr>
          <w:sz w:val="24"/>
          <w:szCs w:val="24"/>
        </w:rPr>
        <w:t xml:space="preserve"> </w:t>
      </w:r>
      <w:r w:rsidR="003B18FB">
        <w:rPr>
          <w:sz w:val="24"/>
          <w:szCs w:val="24"/>
        </w:rPr>
        <w:t xml:space="preserve"> </w:t>
      </w:r>
      <w:r w:rsidRPr="003B600E">
        <w:rPr>
          <w:sz w:val="24"/>
          <w:szCs w:val="24"/>
        </w:rPr>
        <w:t xml:space="preserve">We </w:t>
      </w:r>
      <w:r w:rsidR="00055387">
        <w:rPr>
          <w:sz w:val="24"/>
          <w:szCs w:val="24"/>
        </w:rPr>
        <w:t>h</w:t>
      </w:r>
      <w:r w:rsidR="00E25E47">
        <w:rPr>
          <w:sz w:val="24"/>
          <w:szCs w:val="24"/>
        </w:rPr>
        <w:t>ope</w:t>
      </w:r>
      <w:r w:rsidR="00055387">
        <w:rPr>
          <w:sz w:val="24"/>
          <w:szCs w:val="24"/>
        </w:rPr>
        <w:t xml:space="preserve"> that with future iterations of the CACFP meal pattern, there will be </w:t>
      </w:r>
      <w:r w:rsidR="007E1B38">
        <w:rPr>
          <w:sz w:val="24"/>
          <w:szCs w:val="24"/>
        </w:rPr>
        <w:t xml:space="preserve">resources available to </w:t>
      </w:r>
      <w:r w:rsidR="00055387">
        <w:rPr>
          <w:sz w:val="24"/>
          <w:szCs w:val="24"/>
        </w:rPr>
        <w:t xml:space="preserve">increase </w:t>
      </w:r>
      <w:r w:rsidR="00E25E47">
        <w:rPr>
          <w:sz w:val="24"/>
          <w:szCs w:val="24"/>
        </w:rPr>
        <w:t xml:space="preserve">fruit and vegetable serving sizes and </w:t>
      </w:r>
      <w:r w:rsidR="007E1B38">
        <w:rPr>
          <w:sz w:val="24"/>
          <w:szCs w:val="24"/>
        </w:rPr>
        <w:t>variety</w:t>
      </w:r>
      <w:r w:rsidR="00055387">
        <w:rPr>
          <w:sz w:val="24"/>
          <w:szCs w:val="24"/>
        </w:rPr>
        <w:t xml:space="preserve"> requirements.</w:t>
      </w:r>
    </w:p>
    <w:p w14:paraId="2BCB7972" w14:textId="77777777" w:rsidR="008E3FD2" w:rsidRPr="00D05422" w:rsidRDefault="008E3FD2" w:rsidP="001C3E43">
      <w:pPr>
        <w:spacing w:after="0" w:line="240" w:lineRule="auto"/>
        <w:rPr>
          <w:sz w:val="24"/>
          <w:szCs w:val="24"/>
          <w:u w:val="single"/>
        </w:rPr>
      </w:pPr>
    </w:p>
    <w:p w14:paraId="37FEE0E2" w14:textId="77777777" w:rsidR="00D528D1" w:rsidRDefault="00543D1F" w:rsidP="001C3E43">
      <w:pPr>
        <w:spacing w:after="0" w:line="240" w:lineRule="auto"/>
        <w:rPr>
          <w:sz w:val="24"/>
          <w:szCs w:val="24"/>
          <w:u w:val="single"/>
        </w:rPr>
      </w:pPr>
      <w:r>
        <w:rPr>
          <w:sz w:val="24"/>
          <w:szCs w:val="24"/>
          <w:u w:val="single"/>
        </w:rPr>
        <w:t>Juice</w:t>
      </w:r>
    </w:p>
    <w:p w14:paraId="4806091B" w14:textId="5AABECD2" w:rsidR="00C34B32" w:rsidRPr="003C703F" w:rsidRDefault="003C703F" w:rsidP="001C3E43">
      <w:pPr>
        <w:autoSpaceDE w:val="0"/>
        <w:autoSpaceDN w:val="0"/>
        <w:adjustRightInd w:val="0"/>
        <w:spacing w:after="0" w:line="240" w:lineRule="auto"/>
        <w:rPr>
          <w:rFonts w:cs="Times New Roman"/>
          <w:color w:val="000000"/>
          <w:sz w:val="24"/>
          <w:szCs w:val="24"/>
        </w:rPr>
      </w:pPr>
      <w:r>
        <w:rPr>
          <w:sz w:val="24"/>
          <w:szCs w:val="24"/>
        </w:rPr>
        <w:t xml:space="preserve">We do not support </w:t>
      </w:r>
      <w:r w:rsidR="00C34B32" w:rsidRPr="003C703F">
        <w:rPr>
          <w:rFonts w:cs="Times New Roman"/>
          <w:color w:val="000000"/>
          <w:sz w:val="24"/>
          <w:szCs w:val="24"/>
        </w:rPr>
        <w:t>allowing fruit or vegetable juice to comprise the entire fruit or veg</w:t>
      </w:r>
      <w:r>
        <w:rPr>
          <w:rFonts w:cs="Times New Roman"/>
          <w:color w:val="000000"/>
          <w:sz w:val="24"/>
          <w:szCs w:val="24"/>
        </w:rPr>
        <w:t>etable component for all meals</w:t>
      </w:r>
      <w:r w:rsidR="00DA4CEB">
        <w:rPr>
          <w:rFonts w:cs="Times New Roman"/>
          <w:color w:val="000000"/>
          <w:sz w:val="24"/>
          <w:szCs w:val="24"/>
        </w:rPr>
        <w:t xml:space="preserve"> and snacks</w:t>
      </w:r>
      <w:r>
        <w:rPr>
          <w:rFonts w:cs="Times New Roman"/>
          <w:color w:val="000000"/>
          <w:sz w:val="24"/>
          <w:szCs w:val="24"/>
        </w:rPr>
        <w:t xml:space="preserve">. </w:t>
      </w:r>
      <w:r w:rsidR="0092208A">
        <w:rPr>
          <w:rFonts w:cs="Times New Roman"/>
          <w:color w:val="000000"/>
          <w:sz w:val="24"/>
          <w:szCs w:val="24"/>
        </w:rPr>
        <w:t xml:space="preserve"> </w:t>
      </w:r>
      <w:r w:rsidR="004B1F29" w:rsidRPr="004B1F29">
        <w:rPr>
          <w:rFonts w:cs="Times New Roman"/>
          <w:color w:val="000000"/>
          <w:sz w:val="24"/>
          <w:szCs w:val="24"/>
        </w:rPr>
        <w:t>Studies show that people who eat whole fruits have a lower risk for type 2 diabetes compared t</w:t>
      </w:r>
      <w:r w:rsidR="004B1F29">
        <w:rPr>
          <w:rFonts w:cs="Times New Roman"/>
          <w:color w:val="000000"/>
          <w:sz w:val="24"/>
          <w:szCs w:val="24"/>
        </w:rPr>
        <w:t>o those who consume fruit juice</w:t>
      </w:r>
      <w:r w:rsidR="00DA4CEB">
        <w:rPr>
          <w:rFonts w:cs="Times New Roman"/>
          <w:color w:val="000000"/>
          <w:sz w:val="24"/>
          <w:szCs w:val="24"/>
        </w:rPr>
        <w:t>.</w:t>
      </w:r>
      <w:r>
        <w:rPr>
          <w:rStyle w:val="FootnoteReference"/>
          <w:rFonts w:cs="Times New Roman"/>
          <w:color w:val="000000"/>
          <w:sz w:val="24"/>
          <w:szCs w:val="24"/>
        </w:rPr>
        <w:footnoteReference w:id="11"/>
      </w:r>
      <w:r w:rsidR="00351410">
        <w:rPr>
          <w:rFonts w:cs="Times New Roman"/>
          <w:color w:val="000000"/>
          <w:sz w:val="24"/>
          <w:szCs w:val="24"/>
        </w:rPr>
        <w:t xml:space="preserve"> </w:t>
      </w:r>
      <w:r w:rsidR="0092208A">
        <w:rPr>
          <w:rFonts w:cs="Times New Roman"/>
          <w:color w:val="000000"/>
          <w:sz w:val="24"/>
          <w:szCs w:val="24"/>
        </w:rPr>
        <w:t xml:space="preserve"> </w:t>
      </w:r>
      <w:r w:rsidR="00DA4CEB" w:rsidRPr="00DA4CEB">
        <w:rPr>
          <w:rFonts w:cs="Times New Roman"/>
          <w:color w:val="000000"/>
          <w:sz w:val="24"/>
          <w:szCs w:val="24"/>
        </w:rPr>
        <w:t>Juice intake has increased overall among children 5 yea</w:t>
      </w:r>
      <w:r w:rsidR="00D40EA3">
        <w:rPr>
          <w:rFonts w:cs="Times New Roman"/>
          <w:color w:val="000000"/>
          <w:sz w:val="24"/>
          <w:szCs w:val="24"/>
        </w:rPr>
        <w:t xml:space="preserve">rs </w:t>
      </w:r>
      <w:r w:rsidR="00DA4CEB">
        <w:rPr>
          <w:rFonts w:cs="Times New Roman"/>
          <w:color w:val="000000"/>
          <w:sz w:val="24"/>
          <w:szCs w:val="24"/>
        </w:rPr>
        <w:t>and younger compared to three</w:t>
      </w:r>
      <w:r w:rsidR="00DA4CEB" w:rsidRPr="00DA4CEB">
        <w:rPr>
          <w:rFonts w:cs="Times New Roman"/>
          <w:color w:val="000000"/>
          <w:sz w:val="24"/>
          <w:szCs w:val="24"/>
        </w:rPr>
        <w:t xml:space="preserve"> decades ago,</w:t>
      </w:r>
      <w:r w:rsidR="00DA4CEB">
        <w:rPr>
          <w:rStyle w:val="FootnoteReference"/>
          <w:rFonts w:cs="Times New Roman"/>
          <w:color w:val="000000"/>
          <w:sz w:val="24"/>
          <w:szCs w:val="24"/>
        </w:rPr>
        <w:footnoteReference w:id="12"/>
      </w:r>
      <w:r w:rsidR="00DA4CEB" w:rsidRPr="00DA4CEB">
        <w:rPr>
          <w:rFonts w:cs="Times New Roman"/>
          <w:color w:val="000000"/>
          <w:sz w:val="24"/>
          <w:szCs w:val="24"/>
        </w:rPr>
        <w:t xml:space="preserve"> with </w:t>
      </w:r>
      <w:r w:rsidR="00D40EA3">
        <w:rPr>
          <w:rFonts w:cs="Times New Roman"/>
          <w:color w:val="000000"/>
          <w:sz w:val="24"/>
          <w:szCs w:val="24"/>
        </w:rPr>
        <w:t xml:space="preserve">the </w:t>
      </w:r>
      <w:r w:rsidR="00DA4CEB" w:rsidRPr="00DA4CEB">
        <w:rPr>
          <w:rFonts w:cs="Times New Roman"/>
          <w:color w:val="000000"/>
          <w:sz w:val="24"/>
          <w:szCs w:val="24"/>
        </w:rPr>
        <w:t>largest increases in Latino</w:t>
      </w:r>
      <w:r w:rsidR="00DA4CEB">
        <w:rPr>
          <w:rFonts w:cs="Times New Roman"/>
          <w:color w:val="000000"/>
          <w:sz w:val="24"/>
          <w:szCs w:val="24"/>
        </w:rPr>
        <w:t xml:space="preserve"> and African American children.</w:t>
      </w:r>
      <w:r w:rsidR="00DA4CEB">
        <w:rPr>
          <w:rStyle w:val="FootnoteReference"/>
          <w:rFonts w:cs="Times New Roman"/>
          <w:color w:val="000000"/>
          <w:sz w:val="24"/>
          <w:szCs w:val="24"/>
        </w:rPr>
        <w:footnoteReference w:id="13"/>
      </w:r>
      <w:r w:rsidR="00DA4CEB" w:rsidRPr="00DA4CEB">
        <w:rPr>
          <w:rFonts w:cs="Times New Roman"/>
          <w:color w:val="000000"/>
          <w:sz w:val="24"/>
          <w:szCs w:val="24"/>
        </w:rPr>
        <w:t xml:space="preserve"> </w:t>
      </w:r>
      <w:r w:rsidR="0092208A">
        <w:rPr>
          <w:rFonts w:cs="Times New Roman"/>
          <w:color w:val="000000"/>
          <w:sz w:val="24"/>
          <w:szCs w:val="24"/>
        </w:rPr>
        <w:t xml:space="preserve"> </w:t>
      </w:r>
      <w:r w:rsidR="00DA4CEB" w:rsidRPr="00DA4CEB">
        <w:rPr>
          <w:rFonts w:cs="Times New Roman"/>
          <w:color w:val="000000"/>
          <w:sz w:val="24"/>
          <w:szCs w:val="24"/>
        </w:rPr>
        <w:t xml:space="preserve">Evidence suggests that fruit juice is </w:t>
      </w:r>
      <w:r w:rsidR="004700B2">
        <w:rPr>
          <w:rFonts w:cs="Times New Roman"/>
          <w:color w:val="000000"/>
          <w:sz w:val="24"/>
          <w:szCs w:val="24"/>
        </w:rPr>
        <w:t xml:space="preserve">one of </w:t>
      </w:r>
      <w:r w:rsidR="00DA4CEB" w:rsidRPr="00DA4CEB">
        <w:rPr>
          <w:rFonts w:cs="Times New Roman"/>
          <w:color w:val="000000"/>
          <w:sz w:val="24"/>
          <w:szCs w:val="24"/>
        </w:rPr>
        <w:t>the top contributor</w:t>
      </w:r>
      <w:r w:rsidR="004700B2">
        <w:rPr>
          <w:rFonts w:cs="Times New Roman"/>
          <w:color w:val="000000"/>
          <w:sz w:val="24"/>
          <w:szCs w:val="24"/>
        </w:rPr>
        <w:t>s</w:t>
      </w:r>
      <w:r w:rsidR="00DA4CEB" w:rsidRPr="00DA4CEB">
        <w:rPr>
          <w:rFonts w:cs="Times New Roman"/>
          <w:color w:val="000000"/>
          <w:sz w:val="24"/>
          <w:szCs w:val="24"/>
        </w:rPr>
        <w:t xml:space="preserve"> to children’s </w:t>
      </w:r>
      <w:r w:rsidR="00DA4CEB">
        <w:rPr>
          <w:rFonts w:cs="Times New Roman"/>
          <w:color w:val="000000"/>
          <w:sz w:val="24"/>
          <w:szCs w:val="24"/>
        </w:rPr>
        <w:t>calorie</w:t>
      </w:r>
      <w:r w:rsidR="004700B2">
        <w:rPr>
          <w:rFonts w:cs="Times New Roman"/>
          <w:color w:val="000000"/>
          <w:sz w:val="24"/>
          <w:szCs w:val="24"/>
        </w:rPr>
        <w:t xml:space="preserve"> intake</w:t>
      </w:r>
      <w:r w:rsidR="00DA4CEB">
        <w:rPr>
          <w:rFonts w:cs="Times New Roman"/>
          <w:color w:val="000000"/>
          <w:sz w:val="24"/>
          <w:szCs w:val="24"/>
        </w:rPr>
        <w:t>.</w:t>
      </w:r>
      <w:r w:rsidR="00502F8B">
        <w:rPr>
          <w:rStyle w:val="FootnoteReference"/>
          <w:rFonts w:cs="Times New Roman"/>
          <w:color w:val="000000"/>
          <w:sz w:val="24"/>
          <w:szCs w:val="24"/>
        </w:rPr>
        <w:footnoteReference w:id="14"/>
      </w:r>
      <w:r w:rsidR="00502F8B">
        <w:rPr>
          <w:rFonts w:cs="Times New Roman"/>
          <w:color w:val="000000"/>
          <w:sz w:val="24"/>
          <w:szCs w:val="24"/>
          <w:vertAlign w:val="superscript"/>
        </w:rPr>
        <w:t>,</w:t>
      </w:r>
      <w:r w:rsidR="00502F8B">
        <w:rPr>
          <w:rStyle w:val="FootnoteReference"/>
          <w:rFonts w:cs="Times New Roman"/>
          <w:color w:val="000000"/>
          <w:sz w:val="24"/>
          <w:szCs w:val="24"/>
        </w:rPr>
        <w:footnoteReference w:id="15"/>
      </w:r>
      <w:r w:rsidR="007115DC">
        <w:rPr>
          <w:rFonts w:cs="Times New Roman"/>
          <w:color w:val="000000"/>
          <w:sz w:val="24"/>
          <w:szCs w:val="24"/>
        </w:rPr>
        <w:t xml:space="preserve"> </w:t>
      </w:r>
      <w:r w:rsidR="0092208A">
        <w:rPr>
          <w:rFonts w:cs="Times New Roman"/>
          <w:color w:val="000000"/>
          <w:sz w:val="24"/>
          <w:szCs w:val="24"/>
        </w:rPr>
        <w:t xml:space="preserve"> </w:t>
      </w:r>
      <w:r w:rsidR="007115DC">
        <w:rPr>
          <w:rFonts w:cs="Times New Roman"/>
          <w:color w:val="000000"/>
          <w:sz w:val="24"/>
          <w:szCs w:val="24"/>
        </w:rPr>
        <w:t xml:space="preserve">Further, </w:t>
      </w:r>
      <w:r w:rsidR="00DA4CEB" w:rsidRPr="00DA4CEB">
        <w:rPr>
          <w:rFonts w:cs="Times New Roman"/>
          <w:color w:val="000000"/>
          <w:sz w:val="24"/>
          <w:szCs w:val="24"/>
        </w:rPr>
        <w:t xml:space="preserve">fruit juice has </w:t>
      </w:r>
      <w:r w:rsidR="00DA4CEB" w:rsidRPr="00DA4CEB">
        <w:rPr>
          <w:rFonts w:cs="Times New Roman"/>
          <w:color w:val="000000"/>
          <w:sz w:val="24"/>
          <w:szCs w:val="24"/>
        </w:rPr>
        <w:lastRenderedPageBreak/>
        <w:t>several nutritional disadvant</w:t>
      </w:r>
      <w:r w:rsidR="00DA4CEB">
        <w:rPr>
          <w:rFonts w:cs="Times New Roman"/>
          <w:color w:val="000000"/>
          <w:sz w:val="24"/>
          <w:szCs w:val="24"/>
        </w:rPr>
        <w:t>ages compared to whole fruit:</w:t>
      </w:r>
      <w:r w:rsidR="00DA4CEB" w:rsidRPr="00DA4CEB">
        <w:rPr>
          <w:rFonts w:cs="Times New Roman"/>
          <w:color w:val="000000"/>
          <w:sz w:val="24"/>
          <w:szCs w:val="24"/>
        </w:rPr>
        <w:t xml:space="preserve"> juice has</w:t>
      </w:r>
      <w:r w:rsidR="00DA4CEB">
        <w:rPr>
          <w:rFonts w:cs="Times New Roman"/>
          <w:color w:val="000000"/>
          <w:sz w:val="24"/>
          <w:szCs w:val="24"/>
        </w:rPr>
        <w:t xml:space="preserve"> little or no dietary fiber; </w:t>
      </w:r>
      <w:r w:rsidR="00DA4CEB" w:rsidRPr="00DA4CEB">
        <w:rPr>
          <w:rFonts w:cs="Times New Roman"/>
          <w:color w:val="000000"/>
          <w:sz w:val="24"/>
          <w:szCs w:val="24"/>
        </w:rPr>
        <w:t>prolonged, excessive, or frequent expos</w:t>
      </w:r>
      <w:r w:rsidR="00DA4CEB">
        <w:rPr>
          <w:rFonts w:cs="Times New Roman"/>
          <w:color w:val="000000"/>
          <w:sz w:val="24"/>
          <w:szCs w:val="24"/>
        </w:rPr>
        <w:t>ure could lead to dental caries</w:t>
      </w:r>
      <w:r w:rsidR="00DA4CEB" w:rsidRPr="00DA4CEB">
        <w:rPr>
          <w:rFonts w:cs="Times New Roman"/>
          <w:color w:val="000000"/>
          <w:sz w:val="24"/>
          <w:szCs w:val="24"/>
        </w:rPr>
        <w:t>;</w:t>
      </w:r>
      <w:r w:rsidR="00DA4CEB">
        <w:rPr>
          <w:rStyle w:val="FootnoteReference"/>
          <w:rFonts w:cs="Times New Roman"/>
          <w:color w:val="000000"/>
          <w:sz w:val="24"/>
          <w:szCs w:val="24"/>
        </w:rPr>
        <w:footnoteReference w:id="16"/>
      </w:r>
      <w:r w:rsidR="00DA4CEB">
        <w:rPr>
          <w:rFonts w:cs="Times New Roman"/>
          <w:color w:val="000000"/>
          <w:sz w:val="24"/>
          <w:szCs w:val="24"/>
          <w:vertAlign w:val="superscript"/>
        </w:rPr>
        <w:t>,</w:t>
      </w:r>
      <w:r w:rsidR="00DA4CEB">
        <w:rPr>
          <w:rStyle w:val="FootnoteReference"/>
          <w:rFonts w:cs="Times New Roman"/>
          <w:color w:val="000000"/>
          <w:sz w:val="24"/>
          <w:szCs w:val="24"/>
        </w:rPr>
        <w:footnoteReference w:id="17"/>
      </w:r>
      <w:r w:rsidR="00351410">
        <w:rPr>
          <w:rFonts w:cs="Times New Roman"/>
          <w:color w:val="000000"/>
          <w:sz w:val="24"/>
          <w:szCs w:val="24"/>
          <w:vertAlign w:val="superscript"/>
        </w:rPr>
        <w:t xml:space="preserve"> </w:t>
      </w:r>
      <w:r w:rsidR="00351410">
        <w:rPr>
          <w:rFonts w:cs="Times New Roman"/>
          <w:color w:val="000000"/>
          <w:sz w:val="24"/>
          <w:szCs w:val="24"/>
        </w:rPr>
        <w:t>l</w:t>
      </w:r>
      <w:r w:rsidR="00351410" w:rsidRPr="003C703F">
        <w:rPr>
          <w:rFonts w:cs="Times New Roman"/>
          <w:color w:val="000000"/>
          <w:sz w:val="24"/>
          <w:szCs w:val="24"/>
        </w:rPr>
        <w:t>iquid calories are less satiating</w:t>
      </w:r>
      <w:r w:rsidR="00DA4CEB" w:rsidRPr="00DA4CEB">
        <w:rPr>
          <w:rFonts w:cs="Times New Roman"/>
          <w:color w:val="000000"/>
          <w:sz w:val="24"/>
          <w:szCs w:val="24"/>
        </w:rPr>
        <w:t>, can be consumed more quickly, and may elicit a weaker compensatory response than c</w:t>
      </w:r>
      <w:r w:rsidR="00351410">
        <w:rPr>
          <w:rFonts w:cs="Times New Roman"/>
          <w:color w:val="000000"/>
          <w:sz w:val="24"/>
          <w:szCs w:val="24"/>
        </w:rPr>
        <w:t>alories consumed as solid foods,</w:t>
      </w:r>
      <w:r w:rsidR="00351410">
        <w:rPr>
          <w:rStyle w:val="FootnoteReference"/>
          <w:rFonts w:cs="Times New Roman"/>
          <w:color w:val="000000"/>
          <w:sz w:val="24"/>
          <w:szCs w:val="24"/>
        </w:rPr>
        <w:footnoteReference w:id="18"/>
      </w:r>
      <w:r w:rsidR="00351410">
        <w:rPr>
          <w:rFonts w:cs="Times New Roman"/>
          <w:color w:val="000000"/>
          <w:sz w:val="24"/>
          <w:szCs w:val="24"/>
          <w:vertAlign w:val="superscript"/>
        </w:rPr>
        <w:t>,</w:t>
      </w:r>
      <w:r w:rsidR="00351410">
        <w:rPr>
          <w:rStyle w:val="FootnoteReference"/>
          <w:rFonts w:cs="Times New Roman"/>
          <w:color w:val="000000"/>
          <w:sz w:val="24"/>
          <w:szCs w:val="24"/>
        </w:rPr>
        <w:footnoteReference w:id="19"/>
      </w:r>
      <w:r w:rsidR="00351410" w:rsidRPr="00351410">
        <w:rPr>
          <w:rFonts w:cs="Times New Roman"/>
          <w:color w:val="000000"/>
          <w:sz w:val="24"/>
          <w:szCs w:val="24"/>
        </w:rPr>
        <w:t xml:space="preserve"> </w:t>
      </w:r>
      <w:r w:rsidR="00351410" w:rsidRPr="003C703F">
        <w:rPr>
          <w:rFonts w:cs="Times New Roman"/>
          <w:color w:val="000000"/>
          <w:sz w:val="24"/>
          <w:szCs w:val="24"/>
        </w:rPr>
        <w:t xml:space="preserve">which can </w:t>
      </w:r>
      <w:r w:rsidR="004700B2">
        <w:rPr>
          <w:rFonts w:cs="Times New Roman"/>
          <w:color w:val="000000"/>
          <w:sz w:val="24"/>
          <w:szCs w:val="24"/>
        </w:rPr>
        <w:t>contribute</w:t>
      </w:r>
      <w:r w:rsidR="00351410" w:rsidRPr="003C703F">
        <w:rPr>
          <w:rFonts w:cs="Times New Roman"/>
          <w:color w:val="000000"/>
          <w:sz w:val="24"/>
          <w:szCs w:val="24"/>
        </w:rPr>
        <w:t xml:space="preserve"> to weight gain.</w:t>
      </w:r>
      <w:r w:rsidR="00351410">
        <w:rPr>
          <w:rStyle w:val="FootnoteReference"/>
          <w:rFonts w:cs="Times New Roman"/>
          <w:color w:val="000000"/>
          <w:sz w:val="24"/>
          <w:szCs w:val="24"/>
        </w:rPr>
        <w:footnoteReference w:id="20"/>
      </w:r>
    </w:p>
    <w:p w14:paraId="2A9823D5" w14:textId="77777777" w:rsidR="00C34B32" w:rsidRDefault="00C34B32" w:rsidP="001C3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9A35FBF" w14:textId="3BA5BEB5" w:rsidR="00C34B32" w:rsidRDefault="00C34B32" w:rsidP="001C3E43">
      <w:pPr>
        <w:spacing w:after="0" w:line="240" w:lineRule="auto"/>
        <w:rPr>
          <w:rFonts w:cs="Times New Roman"/>
          <w:color w:val="000000"/>
          <w:sz w:val="24"/>
          <w:szCs w:val="24"/>
        </w:rPr>
      </w:pPr>
      <w:r w:rsidRPr="003C703F">
        <w:rPr>
          <w:rFonts w:cs="Times New Roman"/>
          <w:color w:val="000000"/>
          <w:sz w:val="24"/>
          <w:szCs w:val="24"/>
        </w:rPr>
        <w:t>If fruit or vegetable juice is creditable as an entire fruit or vegetable meal component, we recommend USDA limit reimbursement of 100 percent juice (no sugar</w:t>
      </w:r>
      <w:r w:rsidR="004700B2">
        <w:rPr>
          <w:rFonts w:cs="Times New Roman"/>
          <w:color w:val="000000"/>
          <w:sz w:val="24"/>
          <w:szCs w:val="24"/>
        </w:rPr>
        <w:t>s</w:t>
      </w:r>
      <w:r w:rsidRPr="003C703F">
        <w:rPr>
          <w:rFonts w:cs="Times New Roman"/>
          <w:color w:val="000000"/>
          <w:sz w:val="24"/>
          <w:szCs w:val="24"/>
        </w:rPr>
        <w:t xml:space="preserve"> added) to once a day in age-appropriate portion sizes</w:t>
      </w:r>
      <w:r w:rsidR="003C703F">
        <w:rPr>
          <w:rFonts w:cs="Times New Roman"/>
          <w:color w:val="000000"/>
          <w:sz w:val="24"/>
          <w:szCs w:val="24"/>
        </w:rPr>
        <w:t>, as was recommended by the IOM committee.</w:t>
      </w:r>
      <w:r w:rsidR="00502F8B">
        <w:rPr>
          <w:rStyle w:val="FootnoteReference"/>
          <w:rFonts w:cs="Times New Roman"/>
          <w:color w:val="000000"/>
          <w:sz w:val="24"/>
          <w:szCs w:val="24"/>
        </w:rPr>
        <w:footnoteReference w:id="21"/>
      </w:r>
      <w:r w:rsidR="003C703F">
        <w:rPr>
          <w:rFonts w:cs="Times New Roman"/>
          <w:color w:val="000000"/>
          <w:sz w:val="24"/>
          <w:szCs w:val="24"/>
        </w:rPr>
        <w:t xml:space="preserve"> </w:t>
      </w:r>
      <w:r w:rsidR="0092208A">
        <w:rPr>
          <w:rFonts w:cs="Times New Roman"/>
          <w:color w:val="000000"/>
          <w:sz w:val="24"/>
          <w:szCs w:val="24"/>
        </w:rPr>
        <w:t xml:space="preserve"> </w:t>
      </w:r>
      <w:r w:rsidR="00351410">
        <w:rPr>
          <w:rFonts w:cs="Times New Roman"/>
          <w:color w:val="000000"/>
          <w:sz w:val="24"/>
          <w:szCs w:val="24"/>
        </w:rPr>
        <w:t xml:space="preserve">Healthy Eating Research </w:t>
      </w:r>
      <w:r w:rsidR="008A1EA9">
        <w:rPr>
          <w:rFonts w:cs="Times New Roman"/>
          <w:color w:val="000000"/>
          <w:sz w:val="24"/>
          <w:szCs w:val="24"/>
        </w:rPr>
        <w:t xml:space="preserve">(HER) </w:t>
      </w:r>
      <w:r w:rsidR="00351410">
        <w:rPr>
          <w:rFonts w:cs="Times New Roman"/>
          <w:color w:val="000000"/>
          <w:sz w:val="24"/>
          <w:szCs w:val="24"/>
        </w:rPr>
        <w:t>convened an expert advisory committee to review current research and develop age-</w:t>
      </w:r>
      <w:r w:rsidR="004700B2">
        <w:rPr>
          <w:rFonts w:cs="Times New Roman"/>
          <w:color w:val="000000"/>
          <w:sz w:val="24"/>
          <w:szCs w:val="24"/>
        </w:rPr>
        <w:t>specific</w:t>
      </w:r>
      <w:r w:rsidR="00351410">
        <w:rPr>
          <w:rFonts w:cs="Times New Roman"/>
          <w:color w:val="000000"/>
          <w:sz w:val="24"/>
          <w:szCs w:val="24"/>
        </w:rPr>
        <w:t xml:space="preserve"> recommendations for </w:t>
      </w:r>
      <w:r w:rsidR="008A1EA9">
        <w:rPr>
          <w:rFonts w:cs="Times New Roman"/>
          <w:color w:val="000000"/>
          <w:sz w:val="24"/>
          <w:szCs w:val="24"/>
        </w:rPr>
        <w:t>healthy beverages.</w:t>
      </w:r>
      <w:r w:rsidR="004A670C">
        <w:rPr>
          <w:rStyle w:val="FootnoteReference"/>
          <w:rFonts w:cs="Times New Roman"/>
          <w:color w:val="000000"/>
          <w:sz w:val="24"/>
          <w:szCs w:val="24"/>
        </w:rPr>
        <w:footnoteReference w:id="22"/>
      </w:r>
      <w:r w:rsidR="008A1EA9">
        <w:rPr>
          <w:rFonts w:cs="Times New Roman"/>
          <w:color w:val="000000"/>
          <w:sz w:val="24"/>
          <w:szCs w:val="24"/>
        </w:rPr>
        <w:t xml:space="preserve"> </w:t>
      </w:r>
      <w:r w:rsidR="0092208A">
        <w:rPr>
          <w:rFonts w:cs="Times New Roman"/>
          <w:color w:val="000000"/>
          <w:sz w:val="24"/>
          <w:szCs w:val="24"/>
        </w:rPr>
        <w:t xml:space="preserve"> </w:t>
      </w:r>
      <w:r w:rsidR="008A1EA9">
        <w:rPr>
          <w:rFonts w:cs="Times New Roman"/>
          <w:color w:val="000000"/>
          <w:sz w:val="24"/>
          <w:szCs w:val="24"/>
        </w:rPr>
        <w:t xml:space="preserve">The HER committee recommended </w:t>
      </w:r>
      <w:r w:rsidR="004700B2">
        <w:rPr>
          <w:rFonts w:cs="Times New Roman"/>
          <w:color w:val="000000"/>
          <w:sz w:val="24"/>
          <w:szCs w:val="24"/>
        </w:rPr>
        <w:t xml:space="preserve">no more than </w:t>
      </w:r>
      <w:r w:rsidR="008A1EA9">
        <w:rPr>
          <w:rFonts w:cs="Times New Roman"/>
          <w:color w:val="000000"/>
          <w:sz w:val="24"/>
          <w:szCs w:val="24"/>
        </w:rPr>
        <w:t xml:space="preserve">0-4 ounces of 100% juice for children 2-4 years old,  0-6 ounces for children 5-10 years old, and 0-8 ounces for children 11-18 years old. </w:t>
      </w:r>
      <w:r w:rsidR="0092208A">
        <w:rPr>
          <w:rFonts w:cs="Times New Roman"/>
          <w:color w:val="000000"/>
          <w:sz w:val="24"/>
          <w:szCs w:val="24"/>
        </w:rPr>
        <w:t xml:space="preserve"> </w:t>
      </w:r>
      <w:r w:rsidR="00C27DAA">
        <w:rPr>
          <w:rFonts w:cs="Times New Roman"/>
          <w:color w:val="000000"/>
          <w:sz w:val="24"/>
          <w:szCs w:val="24"/>
        </w:rPr>
        <w:t>M</w:t>
      </w:r>
      <w:r w:rsidRPr="003C703F">
        <w:rPr>
          <w:rFonts w:cs="Times New Roman"/>
          <w:color w:val="000000"/>
          <w:sz w:val="24"/>
          <w:szCs w:val="24"/>
        </w:rPr>
        <w:t>any state agencies already limit the amount of juice reimbursable under t</w:t>
      </w:r>
      <w:r w:rsidR="00BE296E">
        <w:rPr>
          <w:rFonts w:cs="Times New Roman"/>
          <w:color w:val="000000"/>
          <w:sz w:val="24"/>
          <w:szCs w:val="24"/>
        </w:rPr>
        <w:t xml:space="preserve">he CACFP program. </w:t>
      </w:r>
      <w:r w:rsidR="0092208A">
        <w:rPr>
          <w:rFonts w:cs="Times New Roman"/>
          <w:color w:val="000000"/>
          <w:sz w:val="24"/>
          <w:szCs w:val="24"/>
        </w:rPr>
        <w:t xml:space="preserve"> </w:t>
      </w:r>
      <w:r w:rsidRPr="003C703F">
        <w:rPr>
          <w:rFonts w:cs="Times New Roman"/>
          <w:color w:val="000000"/>
          <w:sz w:val="24"/>
          <w:szCs w:val="24"/>
        </w:rPr>
        <w:t>North Carolina, for example, allows only 100% fruit jui</w:t>
      </w:r>
      <w:r w:rsidR="003C703F">
        <w:rPr>
          <w:rFonts w:cs="Times New Roman"/>
          <w:color w:val="000000"/>
          <w:sz w:val="24"/>
          <w:szCs w:val="24"/>
        </w:rPr>
        <w:t>ce, limited to 6 ounces per day.</w:t>
      </w:r>
      <w:r w:rsidR="003C703F">
        <w:rPr>
          <w:rStyle w:val="FootnoteReference"/>
          <w:rFonts w:cs="Times New Roman"/>
          <w:color w:val="000000"/>
          <w:sz w:val="24"/>
          <w:szCs w:val="24"/>
        </w:rPr>
        <w:footnoteReference w:id="23"/>
      </w:r>
      <w:r w:rsidR="00484F40">
        <w:rPr>
          <w:rFonts w:cs="Times New Roman"/>
          <w:color w:val="000000"/>
          <w:sz w:val="24"/>
          <w:szCs w:val="24"/>
        </w:rPr>
        <w:t xml:space="preserve"> In additio</w:t>
      </w:r>
      <w:r w:rsidR="00E135C5">
        <w:rPr>
          <w:rFonts w:cs="Times New Roman"/>
          <w:color w:val="000000"/>
          <w:sz w:val="24"/>
          <w:szCs w:val="24"/>
        </w:rPr>
        <w:t>n, it is a common practice for s</w:t>
      </w:r>
      <w:r w:rsidR="00484F40">
        <w:rPr>
          <w:rFonts w:cs="Times New Roman"/>
          <w:color w:val="000000"/>
          <w:sz w:val="24"/>
          <w:szCs w:val="24"/>
        </w:rPr>
        <w:t>tate CACFP agencies to recommend child care centers and homes serve fruit juice no more than once a day.  In the Food Research and Acti</w:t>
      </w:r>
      <w:r w:rsidR="00E135C5">
        <w:rPr>
          <w:rFonts w:cs="Times New Roman"/>
          <w:color w:val="000000"/>
          <w:sz w:val="24"/>
          <w:szCs w:val="24"/>
        </w:rPr>
        <w:t>on Center’s survey of s</w:t>
      </w:r>
      <w:r w:rsidR="00484F40">
        <w:rPr>
          <w:rFonts w:cs="Times New Roman"/>
          <w:color w:val="000000"/>
          <w:sz w:val="24"/>
          <w:szCs w:val="24"/>
        </w:rPr>
        <w:t>tate CACFP agency nutrition and wellness practices, one third of the states responding had formal enhanced nutrition standards limiting fruit juice to a maximum of one serving per day.</w:t>
      </w:r>
    </w:p>
    <w:p w14:paraId="67CD5D6A" w14:textId="77777777" w:rsidR="00484F40" w:rsidRDefault="00484F40" w:rsidP="001C3E43">
      <w:pPr>
        <w:spacing w:after="0" w:line="240" w:lineRule="auto"/>
        <w:rPr>
          <w:rFonts w:cs="Times New Roman"/>
          <w:color w:val="000000"/>
          <w:sz w:val="24"/>
          <w:szCs w:val="24"/>
        </w:rPr>
      </w:pPr>
    </w:p>
    <w:p w14:paraId="3B2B240E" w14:textId="6091FA32" w:rsidR="00484F40" w:rsidRPr="00FF3982" w:rsidRDefault="00484F40" w:rsidP="00484F40">
      <w:pPr>
        <w:spacing w:after="0" w:line="240" w:lineRule="auto"/>
        <w:rPr>
          <w:rFonts w:cs="Times New Roman"/>
          <w:color w:val="000000"/>
          <w:sz w:val="24"/>
          <w:szCs w:val="24"/>
        </w:rPr>
      </w:pPr>
      <w:r>
        <w:rPr>
          <w:rFonts w:cs="Times New Roman"/>
          <w:color w:val="000000"/>
          <w:sz w:val="24"/>
          <w:szCs w:val="24"/>
        </w:rPr>
        <w:t>For example, as a result of the</w:t>
      </w:r>
      <w:r w:rsidRPr="00CE5429">
        <w:rPr>
          <w:rFonts w:cs="Times New Roman"/>
          <w:color w:val="000000"/>
          <w:sz w:val="24"/>
          <w:szCs w:val="24"/>
        </w:rPr>
        <w:t xml:space="preserve"> </w:t>
      </w:r>
      <w:r>
        <w:rPr>
          <w:rFonts w:cs="Times New Roman"/>
          <w:color w:val="000000"/>
          <w:sz w:val="24"/>
          <w:szCs w:val="24"/>
        </w:rPr>
        <w:t xml:space="preserve">Florida </w:t>
      </w:r>
      <w:r w:rsidRPr="0083493B">
        <w:rPr>
          <w:rFonts w:cs="Times New Roman"/>
          <w:color w:val="000000"/>
          <w:sz w:val="24"/>
          <w:szCs w:val="24"/>
        </w:rPr>
        <w:t>Bureau of Child Nutrition Programs</w:t>
      </w:r>
      <w:r>
        <w:rPr>
          <w:rFonts w:cs="Times New Roman"/>
          <w:color w:val="000000"/>
          <w:sz w:val="24"/>
          <w:szCs w:val="24"/>
        </w:rPr>
        <w:t>’</w:t>
      </w:r>
      <w:r w:rsidRPr="0083493B">
        <w:rPr>
          <w:rFonts w:cs="Times New Roman"/>
          <w:color w:val="000000"/>
          <w:sz w:val="24"/>
          <w:szCs w:val="24"/>
        </w:rPr>
        <w:t xml:space="preserve"> policy limiting juice to a single serving per day, fruit was offered 30 percent more </w:t>
      </w:r>
      <w:r>
        <w:rPr>
          <w:rFonts w:cs="Times New Roman"/>
          <w:color w:val="000000"/>
          <w:sz w:val="24"/>
          <w:szCs w:val="24"/>
        </w:rPr>
        <w:t>often on menus.  The bureau</w:t>
      </w:r>
      <w:r w:rsidRPr="0083493B">
        <w:rPr>
          <w:rFonts w:cs="Times New Roman"/>
          <w:color w:val="000000"/>
          <w:sz w:val="24"/>
          <w:szCs w:val="24"/>
        </w:rPr>
        <w:t xml:space="preserve"> also offers workshops to reinforce the nutrition standards, and</w:t>
      </w:r>
      <w:r>
        <w:rPr>
          <w:rFonts w:cs="Times New Roman"/>
          <w:color w:val="000000"/>
          <w:sz w:val="24"/>
          <w:szCs w:val="24"/>
        </w:rPr>
        <w:t xml:space="preserve"> </w:t>
      </w:r>
      <w:r w:rsidRPr="0083493B">
        <w:rPr>
          <w:rFonts w:cs="Times New Roman"/>
          <w:color w:val="000000"/>
          <w:sz w:val="24"/>
          <w:szCs w:val="24"/>
        </w:rPr>
        <w:t xml:space="preserve">developed supporting materials, including cookbooks, menu planners, and parent fact sheets. </w:t>
      </w:r>
      <w:r w:rsidR="00E135C5">
        <w:rPr>
          <w:rFonts w:cs="Times New Roman"/>
          <w:color w:val="000000"/>
          <w:sz w:val="24"/>
          <w:szCs w:val="24"/>
        </w:rPr>
        <w:t xml:space="preserve"> </w:t>
      </w:r>
      <w:r w:rsidRPr="0083493B">
        <w:rPr>
          <w:rFonts w:cs="Times New Roman"/>
          <w:color w:val="000000"/>
          <w:sz w:val="24"/>
          <w:szCs w:val="24"/>
        </w:rPr>
        <w:t>The</w:t>
      </w:r>
      <w:r>
        <w:rPr>
          <w:rFonts w:cs="Times New Roman"/>
          <w:color w:val="000000"/>
          <w:sz w:val="24"/>
          <w:szCs w:val="24"/>
        </w:rPr>
        <w:t xml:space="preserve"> juice</w:t>
      </w:r>
      <w:r w:rsidRPr="0083493B">
        <w:rPr>
          <w:rFonts w:cs="Times New Roman"/>
          <w:color w:val="000000"/>
          <w:sz w:val="24"/>
          <w:szCs w:val="24"/>
        </w:rPr>
        <w:t xml:space="preserve"> standard, which met with some resistance at the beginning, ha</w:t>
      </w:r>
      <w:r>
        <w:rPr>
          <w:rFonts w:cs="Times New Roman"/>
          <w:color w:val="000000"/>
          <w:sz w:val="24"/>
          <w:szCs w:val="24"/>
        </w:rPr>
        <w:t>s</w:t>
      </w:r>
      <w:r w:rsidRPr="0083493B">
        <w:rPr>
          <w:rFonts w:cs="Times New Roman"/>
          <w:color w:val="000000"/>
          <w:sz w:val="24"/>
          <w:szCs w:val="24"/>
        </w:rPr>
        <w:t xml:space="preserve"> now been fully and successfully implemented, putting Florida providers one step closer to meeting the new CACFP meal pattern.</w:t>
      </w:r>
      <w:r w:rsidR="00135BB5">
        <w:rPr>
          <w:rStyle w:val="FootnoteReference"/>
          <w:rFonts w:cs="Times New Roman"/>
          <w:color w:val="000000"/>
          <w:sz w:val="24"/>
          <w:szCs w:val="24"/>
        </w:rPr>
        <w:footnoteReference w:id="24"/>
      </w:r>
    </w:p>
    <w:p w14:paraId="7B9CF328" w14:textId="5E0FD21F" w:rsidR="003C703F" w:rsidRPr="00135BB5" w:rsidRDefault="00484F40" w:rsidP="001C3E43">
      <w:pPr>
        <w:spacing w:after="0" w:line="240" w:lineRule="auto"/>
        <w:rPr>
          <w:rFonts w:cs="Times New Roman"/>
          <w:i/>
          <w:color w:val="000000"/>
          <w:sz w:val="24"/>
          <w:szCs w:val="24"/>
        </w:rPr>
      </w:pPr>
      <w:r>
        <w:rPr>
          <w:rFonts w:cs="Times New Roman"/>
          <w:i/>
          <w:color w:val="000000"/>
          <w:sz w:val="24"/>
          <w:szCs w:val="24"/>
        </w:rPr>
        <w:t xml:space="preserve"> </w:t>
      </w:r>
    </w:p>
    <w:p w14:paraId="4F293E64" w14:textId="211AFDBF" w:rsidR="003C703F" w:rsidRPr="003C703F" w:rsidRDefault="00C27DAA" w:rsidP="001C3E43">
      <w:pPr>
        <w:spacing w:after="0" w:line="240" w:lineRule="auto"/>
        <w:rPr>
          <w:rFonts w:cs="Times New Roman"/>
          <w:color w:val="000000"/>
          <w:sz w:val="24"/>
          <w:szCs w:val="24"/>
        </w:rPr>
      </w:pPr>
      <w:r w:rsidRPr="00C27DAA">
        <w:rPr>
          <w:rFonts w:cs="Times New Roman"/>
          <w:i/>
          <w:color w:val="000000"/>
          <w:sz w:val="24"/>
          <w:szCs w:val="24"/>
        </w:rPr>
        <w:t>Best Practice:</w:t>
      </w:r>
      <w:r w:rsidR="008A1EA9">
        <w:rPr>
          <w:rFonts w:cs="Times New Roman"/>
          <w:color w:val="000000"/>
          <w:sz w:val="24"/>
          <w:szCs w:val="24"/>
        </w:rPr>
        <w:t xml:space="preserve"> w</w:t>
      </w:r>
      <w:r>
        <w:rPr>
          <w:rFonts w:cs="Times New Roman"/>
          <w:color w:val="000000"/>
          <w:sz w:val="24"/>
          <w:szCs w:val="24"/>
        </w:rPr>
        <w:t>e recommend that the</w:t>
      </w:r>
      <w:r w:rsidR="003C703F" w:rsidRPr="003C703F">
        <w:rPr>
          <w:rFonts w:cs="Times New Roman"/>
          <w:color w:val="000000"/>
          <w:sz w:val="24"/>
          <w:szCs w:val="24"/>
        </w:rPr>
        <w:t xml:space="preserve"> best practice </w:t>
      </w:r>
      <w:r w:rsidR="009657ED">
        <w:rPr>
          <w:rFonts w:cs="Times New Roman"/>
          <w:color w:val="000000"/>
          <w:sz w:val="24"/>
          <w:szCs w:val="24"/>
        </w:rPr>
        <w:t xml:space="preserve">be to </w:t>
      </w:r>
      <w:r>
        <w:rPr>
          <w:rFonts w:cs="Times New Roman"/>
          <w:color w:val="000000"/>
          <w:sz w:val="24"/>
          <w:szCs w:val="24"/>
        </w:rPr>
        <w:t xml:space="preserve">eliminate juice from CACFP to </w:t>
      </w:r>
      <w:r w:rsidR="003C703F" w:rsidRPr="003C703F">
        <w:rPr>
          <w:rFonts w:cs="Times New Roman"/>
          <w:color w:val="000000"/>
          <w:sz w:val="24"/>
          <w:szCs w:val="24"/>
        </w:rPr>
        <w:t>encourage</w:t>
      </w:r>
      <w:r w:rsidR="008A1EA9">
        <w:rPr>
          <w:rFonts w:cs="Times New Roman"/>
          <w:color w:val="000000"/>
          <w:sz w:val="24"/>
          <w:szCs w:val="24"/>
        </w:rPr>
        <w:t xml:space="preserve"> </w:t>
      </w:r>
      <w:r w:rsidR="009657ED">
        <w:rPr>
          <w:rFonts w:cs="Times New Roman"/>
          <w:color w:val="000000"/>
          <w:sz w:val="24"/>
          <w:szCs w:val="24"/>
        </w:rPr>
        <w:t xml:space="preserve">whole </w:t>
      </w:r>
      <w:r w:rsidR="008A1EA9">
        <w:rPr>
          <w:rFonts w:cs="Times New Roman"/>
          <w:color w:val="000000"/>
          <w:sz w:val="24"/>
          <w:szCs w:val="24"/>
        </w:rPr>
        <w:t>fruit and vegetable consumption</w:t>
      </w:r>
      <w:r w:rsidR="003C703F" w:rsidRPr="003C703F">
        <w:rPr>
          <w:rFonts w:cs="Times New Roman"/>
          <w:color w:val="000000"/>
          <w:sz w:val="24"/>
          <w:szCs w:val="24"/>
        </w:rPr>
        <w:t>.</w:t>
      </w:r>
      <w:r w:rsidR="003C703F">
        <w:rPr>
          <w:rFonts w:cs="Times New Roman"/>
          <w:color w:val="000000"/>
          <w:sz w:val="24"/>
          <w:szCs w:val="24"/>
        </w:rPr>
        <w:t xml:space="preserve"> </w:t>
      </w:r>
    </w:p>
    <w:p w14:paraId="7C4B5BB7" w14:textId="77777777" w:rsidR="00543D1F" w:rsidRPr="00543D1F" w:rsidRDefault="00543D1F" w:rsidP="001C3E43">
      <w:pPr>
        <w:spacing w:after="0" w:line="240" w:lineRule="auto"/>
        <w:rPr>
          <w:sz w:val="24"/>
          <w:szCs w:val="24"/>
        </w:rPr>
      </w:pPr>
    </w:p>
    <w:p w14:paraId="720A7011" w14:textId="77777777" w:rsidR="00D528D1" w:rsidRDefault="00D528D1" w:rsidP="001C3E43">
      <w:pPr>
        <w:spacing w:after="0" w:line="240" w:lineRule="auto"/>
        <w:rPr>
          <w:sz w:val="24"/>
          <w:szCs w:val="24"/>
          <w:u w:val="single"/>
        </w:rPr>
      </w:pPr>
      <w:r w:rsidRPr="00D05422">
        <w:rPr>
          <w:sz w:val="24"/>
          <w:szCs w:val="24"/>
          <w:u w:val="single"/>
        </w:rPr>
        <w:t>Whole Grains</w:t>
      </w:r>
    </w:p>
    <w:p w14:paraId="157A2E4B" w14:textId="042DA6EE" w:rsidR="006D396B" w:rsidRDefault="0011735F" w:rsidP="001C3E43">
      <w:pPr>
        <w:spacing w:after="0" w:line="240" w:lineRule="auto"/>
        <w:rPr>
          <w:sz w:val="24"/>
          <w:szCs w:val="24"/>
        </w:rPr>
      </w:pPr>
      <w:r>
        <w:rPr>
          <w:sz w:val="24"/>
          <w:szCs w:val="24"/>
        </w:rPr>
        <w:t>W</w:t>
      </w:r>
      <w:r w:rsidR="00C27DAA">
        <w:rPr>
          <w:sz w:val="24"/>
          <w:szCs w:val="24"/>
        </w:rPr>
        <w:t>e</w:t>
      </w:r>
      <w:r w:rsidR="00543D1F">
        <w:rPr>
          <w:sz w:val="24"/>
          <w:szCs w:val="24"/>
        </w:rPr>
        <w:t xml:space="preserve"> support</w:t>
      </w:r>
      <w:r w:rsidR="006D396B">
        <w:rPr>
          <w:sz w:val="24"/>
          <w:szCs w:val="24"/>
        </w:rPr>
        <w:t xml:space="preserve"> </w:t>
      </w:r>
      <w:r>
        <w:rPr>
          <w:sz w:val="24"/>
          <w:szCs w:val="24"/>
        </w:rPr>
        <w:t>a stronger</w:t>
      </w:r>
      <w:r w:rsidR="006D396B">
        <w:rPr>
          <w:sz w:val="24"/>
          <w:szCs w:val="24"/>
        </w:rPr>
        <w:t xml:space="preserve"> requirement </w:t>
      </w:r>
      <w:r>
        <w:rPr>
          <w:sz w:val="24"/>
          <w:szCs w:val="24"/>
        </w:rPr>
        <w:t>than suggested (</w:t>
      </w:r>
      <w:r w:rsidR="006D396B">
        <w:rPr>
          <w:sz w:val="24"/>
          <w:szCs w:val="24"/>
        </w:rPr>
        <w:t xml:space="preserve">to </w:t>
      </w:r>
      <w:r w:rsidR="00937F27">
        <w:rPr>
          <w:sz w:val="24"/>
          <w:szCs w:val="24"/>
        </w:rPr>
        <w:t xml:space="preserve">make at least one of the grain servings </w:t>
      </w:r>
      <w:r w:rsidR="006D396B">
        <w:rPr>
          <w:sz w:val="24"/>
          <w:szCs w:val="24"/>
        </w:rPr>
        <w:t xml:space="preserve">whole grain-rich </w:t>
      </w:r>
      <w:r w:rsidR="00937F27">
        <w:rPr>
          <w:sz w:val="24"/>
          <w:szCs w:val="24"/>
        </w:rPr>
        <w:t xml:space="preserve">each </w:t>
      </w:r>
      <w:r w:rsidR="00543D1F" w:rsidRPr="00543D1F">
        <w:rPr>
          <w:sz w:val="24"/>
          <w:szCs w:val="24"/>
        </w:rPr>
        <w:t>day across all eating occasions</w:t>
      </w:r>
      <w:r>
        <w:rPr>
          <w:sz w:val="24"/>
          <w:szCs w:val="24"/>
        </w:rPr>
        <w:t xml:space="preserve">) and would ask that you make all grain </w:t>
      </w:r>
      <w:r>
        <w:rPr>
          <w:sz w:val="24"/>
          <w:szCs w:val="24"/>
        </w:rPr>
        <w:lastRenderedPageBreak/>
        <w:t>servings required to be whole grain rich</w:t>
      </w:r>
      <w:r w:rsidR="00543D1F" w:rsidRPr="00543D1F">
        <w:rPr>
          <w:sz w:val="24"/>
          <w:szCs w:val="24"/>
        </w:rPr>
        <w:t xml:space="preserve">. </w:t>
      </w:r>
      <w:r w:rsidR="0092208A">
        <w:rPr>
          <w:sz w:val="24"/>
          <w:szCs w:val="24"/>
        </w:rPr>
        <w:t xml:space="preserve"> </w:t>
      </w:r>
      <w:r w:rsidR="00EB0672" w:rsidRPr="00EB0672">
        <w:rPr>
          <w:sz w:val="24"/>
          <w:szCs w:val="24"/>
        </w:rPr>
        <w:t>This requirement should be applicable only when a grain is served during the day.  For example, afterschool programs serving only a snack might not have a grain component each day</w:t>
      </w:r>
      <w:r w:rsidR="00937F27">
        <w:rPr>
          <w:sz w:val="24"/>
          <w:szCs w:val="24"/>
        </w:rPr>
        <w:t xml:space="preserve"> and thus would not need to serve a whole grain product</w:t>
      </w:r>
      <w:r w:rsidR="00EB0672">
        <w:rPr>
          <w:sz w:val="24"/>
          <w:szCs w:val="24"/>
        </w:rPr>
        <w:t xml:space="preserve">.  </w:t>
      </w:r>
      <w:r w:rsidR="00543D1F" w:rsidRPr="00543D1F">
        <w:rPr>
          <w:sz w:val="24"/>
          <w:szCs w:val="24"/>
        </w:rPr>
        <w:t xml:space="preserve">We agree with the IOM’s assessment of the health benefits of whole grain consumption, and would like to see increased requirements </w:t>
      </w:r>
      <w:r w:rsidR="00937F27">
        <w:rPr>
          <w:sz w:val="24"/>
          <w:szCs w:val="24"/>
        </w:rPr>
        <w:t xml:space="preserve">for whole grains </w:t>
      </w:r>
      <w:r w:rsidR="00543D1F" w:rsidRPr="00543D1F">
        <w:rPr>
          <w:sz w:val="24"/>
          <w:szCs w:val="24"/>
        </w:rPr>
        <w:t xml:space="preserve">in future iterations of CACFP meal patterns. </w:t>
      </w:r>
      <w:r w:rsidR="0092208A">
        <w:rPr>
          <w:sz w:val="24"/>
          <w:szCs w:val="24"/>
        </w:rPr>
        <w:t xml:space="preserve"> </w:t>
      </w:r>
      <w:r w:rsidR="006D396B" w:rsidRPr="006D396B">
        <w:rPr>
          <w:sz w:val="24"/>
          <w:szCs w:val="24"/>
        </w:rPr>
        <w:t xml:space="preserve">Consuming a diet rich in whole grains can increase intake of dietary fiber </w:t>
      </w:r>
      <w:r w:rsidR="006D396B">
        <w:rPr>
          <w:sz w:val="24"/>
          <w:szCs w:val="24"/>
        </w:rPr>
        <w:t>and other nutrients,</w:t>
      </w:r>
      <w:r w:rsidR="006D396B">
        <w:rPr>
          <w:rStyle w:val="FootnoteReference"/>
          <w:sz w:val="24"/>
          <w:szCs w:val="24"/>
        </w:rPr>
        <w:footnoteReference w:id="25"/>
      </w:r>
      <w:r w:rsidR="006D396B">
        <w:rPr>
          <w:sz w:val="24"/>
          <w:szCs w:val="24"/>
          <w:vertAlign w:val="superscript"/>
        </w:rPr>
        <w:t>,</w:t>
      </w:r>
      <w:r w:rsidR="006D396B">
        <w:rPr>
          <w:rStyle w:val="FootnoteReference"/>
          <w:sz w:val="24"/>
          <w:szCs w:val="24"/>
        </w:rPr>
        <w:footnoteReference w:id="26"/>
      </w:r>
      <w:r w:rsidR="00D40EA3">
        <w:rPr>
          <w:sz w:val="24"/>
          <w:szCs w:val="24"/>
        </w:rPr>
        <w:t xml:space="preserve"> help </w:t>
      </w:r>
      <w:r w:rsidR="00937F27">
        <w:rPr>
          <w:sz w:val="24"/>
          <w:szCs w:val="24"/>
        </w:rPr>
        <w:t xml:space="preserve">people </w:t>
      </w:r>
      <w:r w:rsidR="00D40EA3">
        <w:rPr>
          <w:sz w:val="24"/>
          <w:szCs w:val="24"/>
        </w:rPr>
        <w:t>to maintain a healthy weight</w:t>
      </w:r>
      <w:r w:rsidR="006D396B">
        <w:rPr>
          <w:sz w:val="24"/>
          <w:szCs w:val="24"/>
        </w:rPr>
        <w:t>,</w:t>
      </w:r>
      <w:r w:rsidR="006D396B">
        <w:rPr>
          <w:rStyle w:val="FootnoteReference"/>
          <w:sz w:val="24"/>
          <w:szCs w:val="24"/>
        </w:rPr>
        <w:footnoteReference w:id="27"/>
      </w:r>
      <w:r w:rsidR="006D396B">
        <w:rPr>
          <w:sz w:val="24"/>
          <w:szCs w:val="24"/>
          <w:vertAlign w:val="superscript"/>
        </w:rPr>
        <w:t>,</w:t>
      </w:r>
      <w:r w:rsidR="006D396B">
        <w:rPr>
          <w:rStyle w:val="FootnoteReference"/>
          <w:sz w:val="24"/>
          <w:szCs w:val="24"/>
        </w:rPr>
        <w:footnoteReference w:id="28"/>
      </w:r>
      <w:r w:rsidR="006D396B">
        <w:rPr>
          <w:sz w:val="24"/>
          <w:szCs w:val="24"/>
          <w:vertAlign w:val="superscript"/>
        </w:rPr>
        <w:t>,</w:t>
      </w:r>
      <w:r w:rsidR="006D396B">
        <w:rPr>
          <w:rStyle w:val="FootnoteReference"/>
          <w:sz w:val="24"/>
          <w:szCs w:val="24"/>
        </w:rPr>
        <w:footnoteReference w:id="29"/>
      </w:r>
      <w:r w:rsidR="006D396B">
        <w:rPr>
          <w:sz w:val="24"/>
          <w:szCs w:val="24"/>
          <w:vertAlign w:val="superscript"/>
        </w:rPr>
        <w:t>,</w:t>
      </w:r>
      <w:r w:rsidR="006D396B">
        <w:rPr>
          <w:rStyle w:val="FootnoteReference"/>
          <w:sz w:val="24"/>
          <w:szCs w:val="24"/>
        </w:rPr>
        <w:footnoteReference w:id="30"/>
      </w:r>
      <w:r w:rsidR="006D396B" w:rsidRPr="006D396B">
        <w:rPr>
          <w:sz w:val="24"/>
          <w:szCs w:val="24"/>
        </w:rPr>
        <w:t xml:space="preserve"> reduce the r</w:t>
      </w:r>
      <w:r w:rsidR="00DB3E1B">
        <w:rPr>
          <w:sz w:val="24"/>
          <w:szCs w:val="24"/>
        </w:rPr>
        <w:t>isk of several chronic diseases,</w:t>
      </w:r>
      <w:r w:rsidR="006D396B">
        <w:rPr>
          <w:rStyle w:val="FootnoteReference"/>
          <w:sz w:val="24"/>
          <w:szCs w:val="24"/>
        </w:rPr>
        <w:footnoteReference w:id="31"/>
      </w:r>
      <w:r w:rsidR="00C24A11">
        <w:rPr>
          <w:sz w:val="24"/>
          <w:szCs w:val="24"/>
          <w:vertAlign w:val="superscript"/>
        </w:rPr>
        <w:t>,</w:t>
      </w:r>
      <w:r w:rsidR="00C24A11">
        <w:rPr>
          <w:rStyle w:val="FootnoteReference"/>
          <w:sz w:val="24"/>
          <w:szCs w:val="24"/>
        </w:rPr>
        <w:footnoteReference w:id="32"/>
      </w:r>
      <w:r w:rsidR="00DB3E1B" w:rsidRPr="00DB3E1B">
        <w:rPr>
          <w:sz w:val="24"/>
          <w:szCs w:val="24"/>
        </w:rPr>
        <w:t xml:space="preserve"> </w:t>
      </w:r>
      <w:r w:rsidR="00DB3E1B">
        <w:rPr>
          <w:sz w:val="24"/>
          <w:szCs w:val="24"/>
        </w:rPr>
        <w:t xml:space="preserve">and </w:t>
      </w:r>
      <w:r w:rsidR="00DB3E1B" w:rsidRPr="006D396B">
        <w:rPr>
          <w:sz w:val="24"/>
          <w:szCs w:val="24"/>
        </w:rPr>
        <w:t>h</w:t>
      </w:r>
      <w:r w:rsidR="00DB3E1B">
        <w:rPr>
          <w:sz w:val="24"/>
          <w:szCs w:val="24"/>
        </w:rPr>
        <w:t xml:space="preserve">elp manage </w:t>
      </w:r>
      <w:r w:rsidR="00937F27">
        <w:rPr>
          <w:sz w:val="24"/>
          <w:szCs w:val="24"/>
        </w:rPr>
        <w:t xml:space="preserve">blood </w:t>
      </w:r>
      <w:r w:rsidR="00DB3E1B">
        <w:rPr>
          <w:sz w:val="24"/>
          <w:szCs w:val="24"/>
        </w:rPr>
        <w:t>cholesterol levels.</w:t>
      </w:r>
      <w:r w:rsidR="00DB3E1B">
        <w:rPr>
          <w:rStyle w:val="FootnoteReference"/>
          <w:sz w:val="24"/>
          <w:szCs w:val="24"/>
        </w:rPr>
        <w:footnoteReference w:id="33"/>
      </w:r>
    </w:p>
    <w:p w14:paraId="0B4EBF4D" w14:textId="77777777" w:rsidR="006D396B" w:rsidRDefault="006D396B" w:rsidP="001C3E43">
      <w:pPr>
        <w:spacing w:after="0" w:line="240" w:lineRule="auto"/>
        <w:rPr>
          <w:sz w:val="24"/>
          <w:szCs w:val="24"/>
        </w:rPr>
      </w:pPr>
    </w:p>
    <w:p w14:paraId="670DAE75" w14:textId="2B9210E8" w:rsidR="00543D1F" w:rsidRDefault="00543D1F" w:rsidP="001C3E43">
      <w:pPr>
        <w:spacing w:after="0" w:line="240" w:lineRule="auto"/>
        <w:rPr>
          <w:sz w:val="24"/>
          <w:szCs w:val="24"/>
        </w:rPr>
      </w:pPr>
      <w:r w:rsidRPr="00543D1F">
        <w:rPr>
          <w:sz w:val="24"/>
          <w:szCs w:val="24"/>
        </w:rPr>
        <w:t>Identifying and purchasing whole grain products can be compli</w:t>
      </w:r>
      <w:bookmarkStart w:id="0" w:name="_GoBack"/>
      <w:bookmarkEnd w:id="0"/>
      <w:r w:rsidRPr="00543D1F">
        <w:rPr>
          <w:sz w:val="24"/>
          <w:szCs w:val="24"/>
        </w:rPr>
        <w:t>cated</w:t>
      </w:r>
      <w:r w:rsidR="0087690C">
        <w:rPr>
          <w:sz w:val="24"/>
          <w:szCs w:val="24"/>
        </w:rPr>
        <w:t xml:space="preserve"> and confusing</w:t>
      </w:r>
      <w:r w:rsidRPr="00543D1F">
        <w:rPr>
          <w:sz w:val="24"/>
          <w:szCs w:val="24"/>
        </w:rPr>
        <w:t xml:space="preserve">; </w:t>
      </w:r>
      <w:r w:rsidR="0087690C">
        <w:rPr>
          <w:sz w:val="24"/>
          <w:szCs w:val="24"/>
        </w:rPr>
        <w:t>providing</w:t>
      </w:r>
      <w:r w:rsidR="0087690C" w:rsidRPr="00543D1F">
        <w:rPr>
          <w:sz w:val="24"/>
          <w:szCs w:val="24"/>
        </w:rPr>
        <w:t xml:space="preserve"> </w:t>
      </w:r>
      <w:r w:rsidRPr="00543D1F">
        <w:rPr>
          <w:sz w:val="24"/>
          <w:szCs w:val="24"/>
        </w:rPr>
        <w:t xml:space="preserve">tools and phased-in requirements </w:t>
      </w:r>
      <w:r w:rsidR="0087690C">
        <w:rPr>
          <w:sz w:val="24"/>
          <w:szCs w:val="24"/>
        </w:rPr>
        <w:t xml:space="preserve">would </w:t>
      </w:r>
      <w:r w:rsidRPr="00543D1F">
        <w:rPr>
          <w:sz w:val="24"/>
          <w:szCs w:val="24"/>
        </w:rPr>
        <w:t xml:space="preserve">facilitate the process. </w:t>
      </w:r>
      <w:r w:rsidR="0092208A">
        <w:rPr>
          <w:sz w:val="24"/>
          <w:szCs w:val="24"/>
        </w:rPr>
        <w:t xml:space="preserve"> </w:t>
      </w:r>
      <w:r w:rsidRPr="00543D1F">
        <w:rPr>
          <w:sz w:val="24"/>
          <w:szCs w:val="24"/>
        </w:rPr>
        <w:t xml:space="preserve">For example, certain whole grains </w:t>
      </w:r>
      <w:r w:rsidR="0087690C">
        <w:rPr>
          <w:sz w:val="24"/>
          <w:szCs w:val="24"/>
        </w:rPr>
        <w:t xml:space="preserve">can be purchased in varieties that </w:t>
      </w:r>
      <w:r w:rsidRPr="00543D1F">
        <w:rPr>
          <w:sz w:val="24"/>
          <w:szCs w:val="24"/>
        </w:rPr>
        <w:t>are cost neutral and easy to find (such as cereals, pasta</w:t>
      </w:r>
      <w:r>
        <w:rPr>
          <w:sz w:val="24"/>
          <w:szCs w:val="24"/>
        </w:rPr>
        <w:t>,</w:t>
      </w:r>
      <w:r w:rsidR="00BE296E">
        <w:rPr>
          <w:sz w:val="24"/>
          <w:szCs w:val="24"/>
        </w:rPr>
        <w:t xml:space="preserve"> and breads). </w:t>
      </w:r>
      <w:r w:rsidR="0092208A">
        <w:rPr>
          <w:sz w:val="24"/>
          <w:szCs w:val="24"/>
        </w:rPr>
        <w:t xml:space="preserve"> </w:t>
      </w:r>
      <w:r w:rsidRPr="00543D1F">
        <w:rPr>
          <w:sz w:val="24"/>
          <w:szCs w:val="24"/>
        </w:rPr>
        <w:t>Encouraging providers to focus on starting with these readily available products, which do not add costs, helps to faci</w:t>
      </w:r>
      <w:r w:rsidR="00BE296E">
        <w:rPr>
          <w:sz w:val="24"/>
          <w:szCs w:val="24"/>
        </w:rPr>
        <w:t xml:space="preserve">litate adoption and adherence. </w:t>
      </w:r>
      <w:r w:rsidR="0092208A">
        <w:rPr>
          <w:sz w:val="24"/>
          <w:szCs w:val="24"/>
        </w:rPr>
        <w:t xml:space="preserve"> </w:t>
      </w:r>
      <w:r w:rsidRPr="00543D1F">
        <w:rPr>
          <w:sz w:val="24"/>
          <w:szCs w:val="24"/>
        </w:rPr>
        <w:t xml:space="preserve">In addition, many low-sugar cereals also qualify as whole grains, making it </w:t>
      </w:r>
      <w:r w:rsidR="0087690C">
        <w:rPr>
          <w:sz w:val="24"/>
          <w:szCs w:val="24"/>
        </w:rPr>
        <w:t>possible</w:t>
      </w:r>
      <w:r w:rsidRPr="00543D1F">
        <w:rPr>
          <w:sz w:val="24"/>
          <w:szCs w:val="24"/>
        </w:rPr>
        <w:t xml:space="preserve"> for providers to meet two meal planning requirements at one time.</w:t>
      </w:r>
    </w:p>
    <w:p w14:paraId="0A52CBC4" w14:textId="77777777" w:rsidR="00543D1F" w:rsidRDefault="00543D1F" w:rsidP="001C3E43">
      <w:pPr>
        <w:spacing w:after="0" w:line="240" w:lineRule="auto"/>
        <w:rPr>
          <w:sz w:val="24"/>
          <w:szCs w:val="24"/>
        </w:rPr>
      </w:pPr>
    </w:p>
    <w:p w14:paraId="255FE397" w14:textId="77777777" w:rsidR="00543D1F" w:rsidRPr="00C27DAA" w:rsidRDefault="00543D1F" w:rsidP="001C3E43">
      <w:pPr>
        <w:spacing w:after="0" w:line="240" w:lineRule="auto"/>
        <w:rPr>
          <w:sz w:val="24"/>
          <w:szCs w:val="24"/>
        </w:rPr>
      </w:pPr>
      <w:r w:rsidRPr="00D05422">
        <w:rPr>
          <w:sz w:val="24"/>
          <w:szCs w:val="24"/>
          <w:u w:val="single"/>
        </w:rPr>
        <w:t>Grain-Based Desserts</w:t>
      </w:r>
      <w:r w:rsidR="00C27DAA">
        <w:rPr>
          <w:sz w:val="24"/>
          <w:szCs w:val="24"/>
          <w:u w:val="single"/>
        </w:rPr>
        <w:t xml:space="preserve"> </w:t>
      </w:r>
    </w:p>
    <w:p w14:paraId="6AAAD2F9" w14:textId="70C66375" w:rsidR="007115DC" w:rsidRDefault="005C094D" w:rsidP="001C3E43">
      <w:pPr>
        <w:spacing w:after="0" w:line="240" w:lineRule="auto"/>
        <w:rPr>
          <w:sz w:val="24"/>
          <w:szCs w:val="24"/>
        </w:rPr>
      </w:pPr>
      <w:r>
        <w:rPr>
          <w:sz w:val="24"/>
          <w:szCs w:val="24"/>
        </w:rPr>
        <w:t>W</w:t>
      </w:r>
      <w:r w:rsidR="007115DC">
        <w:rPr>
          <w:sz w:val="24"/>
          <w:szCs w:val="24"/>
        </w:rPr>
        <w:t>e</w:t>
      </w:r>
      <w:r w:rsidR="007115DC" w:rsidRPr="00543D1F">
        <w:rPr>
          <w:sz w:val="24"/>
          <w:szCs w:val="24"/>
        </w:rPr>
        <w:t xml:space="preserve"> fully suppor</w:t>
      </w:r>
      <w:r w:rsidR="007115DC">
        <w:rPr>
          <w:sz w:val="24"/>
          <w:szCs w:val="24"/>
        </w:rPr>
        <w:t xml:space="preserve">t the proposed revision to </w:t>
      </w:r>
      <w:r w:rsidR="007115DC" w:rsidRPr="00543D1F">
        <w:rPr>
          <w:sz w:val="24"/>
          <w:szCs w:val="24"/>
        </w:rPr>
        <w:t>disallow grain-based desserts from counti</w:t>
      </w:r>
      <w:r w:rsidR="00E135C5">
        <w:rPr>
          <w:sz w:val="24"/>
          <w:szCs w:val="24"/>
        </w:rPr>
        <w:t>ng toward</w:t>
      </w:r>
      <w:r w:rsidR="007115DC">
        <w:rPr>
          <w:sz w:val="24"/>
          <w:szCs w:val="24"/>
        </w:rPr>
        <w:t xml:space="preserve"> the grain component.</w:t>
      </w:r>
      <w:r w:rsidR="007115DC" w:rsidRPr="00543D1F">
        <w:rPr>
          <w:sz w:val="24"/>
          <w:szCs w:val="24"/>
        </w:rPr>
        <w:t xml:space="preserve"> </w:t>
      </w:r>
      <w:r w:rsidR="0092208A">
        <w:rPr>
          <w:sz w:val="24"/>
          <w:szCs w:val="24"/>
        </w:rPr>
        <w:t xml:space="preserve"> </w:t>
      </w:r>
      <w:r w:rsidR="007115DC">
        <w:rPr>
          <w:sz w:val="24"/>
          <w:szCs w:val="24"/>
        </w:rPr>
        <w:t xml:space="preserve">Grain-based desserts </w:t>
      </w:r>
      <w:r w:rsidR="007115DC" w:rsidRPr="00896F34">
        <w:rPr>
          <w:color w:val="000000"/>
          <w:sz w:val="24"/>
          <w:szCs w:val="24"/>
        </w:rPr>
        <w:t>are major sources of extra calories</w:t>
      </w:r>
      <w:r w:rsidR="00E135C5">
        <w:rPr>
          <w:color w:val="000000"/>
          <w:sz w:val="24"/>
          <w:szCs w:val="24"/>
        </w:rPr>
        <w:t>, added sugars, saturated</w:t>
      </w:r>
      <w:r w:rsidR="00C025EC">
        <w:rPr>
          <w:color w:val="000000"/>
          <w:sz w:val="24"/>
          <w:szCs w:val="24"/>
        </w:rPr>
        <w:t xml:space="preserve"> fat</w:t>
      </w:r>
      <w:r w:rsidR="00E135C5">
        <w:rPr>
          <w:color w:val="000000"/>
          <w:sz w:val="24"/>
          <w:szCs w:val="24"/>
        </w:rPr>
        <w:t>,</w:t>
      </w:r>
      <w:r w:rsidR="00C025EC">
        <w:rPr>
          <w:color w:val="000000"/>
          <w:sz w:val="24"/>
          <w:szCs w:val="24"/>
        </w:rPr>
        <w:t xml:space="preserve"> and trans fat, and they </w:t>
      </w:r>
      <w:r w:rsidR="007115DC" w:rsidRPr="00896F34">
        <w:rPr>
          <w:color w:val="000000"/>
          <w:sz w:val="24"/>
          <w:szCs w:val="24"/>
        </w:rPr>
        <w:t xml:space="preserve">are generally low </w:t>
      </w:r>
      <w:r>
        <w:rPr>
          <w:color w:val="000000"/>
          <w:sz w:val="24"/>
          <w:szCs w:val="24"/>
        </w:rPr>
        <w:t xml:space="preserve">in </w:t>
      </w:r>
      <w:r w:rsidR="007115DC" w:rsidRPr="00896F34">
        <w:rPr>
          <w:color w:val="000000"/>
          <w:sz w:val="24"/>
          <w:szCs w:val="24"/>
        </w:rPr>
        <w:t>nutrition</w:t>
      </w:r>
      <w:r>
        <w:rPr>
          <w:color w:val="000000"/>
          <w:sz w:val="24"/>
          <w:szCs w:val="24"/>
        </w:rPr>
        <w:t>al value</w:t>
      </w:r>
      <w:r w:rsidR="007115DC" w:rsidRPr="00896F34">
        <w:rPr>
          <w:color w:val="000000"/>
          <w:sz w:val="24"/>
          <w:szCs w:val="24"/>
        </w:rPr>
        <w:t>.</w:t>
      </w:r>
      <w:r w:rsidR="007115DC" w:rsidRPr="00543D1F">
        <w:rPr>
          <w:sz w:val="24"/>
          <w:szCs w:val="24"/>
        </w:rPr>
        <w:t xml:space="preserve"> </w:t>
      </w:r>
      <w:r w:rsidR="0092208A">
        <w:rPr>
          <w:sz w:val="24"/>
          <w:szCs w:val="24"/>
        </w:rPr>
        <w:t xml:space="preserve"> </w:t>
      </w:r>
      <w:r w:rsidR="007115DC" w:rsidRPr="00333833">
        <w:rPr>
          <w:sz w:val="24"/>
          <w:szCs w:val="24"/>
        </w:rPr>
        <w:t>According to the National Health and Nutrition Examination Survey (NHANES) grain-based desserts contribut</w:t>
      </w:r>
      <w:r w:rsidR="007115DC">
        <w:rPr>
          <w:sz w:val="24"/>
          <w:szCs w:val="24"/>
        </w:rPr>
        <w:t>e</w:t>
      </w:r>
      <w:r w:rsidR="007115DC" w:rsidRPr="00333833">
        <w:rPr>
          <w:sz w:val="24"/>
          <w:szCs w:val="24"/>
        </w:rPr>
        <w:t xml:space="preserve"> 12.9% of calories from total added sugars and 10.8% of calories from solid fat.</w:t>
      </w:r>
      <w:r w:rsidR="007115DC" w:rsidRPr="00333833">
        <w:rPr>
          <w:sz w:val="24"/>
          <w:szCs w:val="24"/>
          <w:vertAlign w:val="superscript"/>
        </w:rPr>
        <w:footnoteReference w:id="34"/>
      </w:r>
    </w:p>
    <w:p w14:paraId="366C805C" w14:textId="77777777" w:rsidR="007115DC" w:rsidRDefault="007115DC" w:rsidP="001C3E43">
      <w:pPr>
        <w:spacing w:after="0" w:line="240" w:lineRule="auto"/>
        <w:rPr>
          <w:sz w:val="24"/>
          <w:szCs w:val="24"/>
        </w:rPr>
      </w:pPr>
    </w:p>
    <w:p w14:paraId="7B852475" w14:textId="5B616A7C" w:rsidR="007115DC" w:rsidRPr="008C33AD" w:rsidRDefault="007115DC" w:rsidP="001C3E43">
      <w:pPr>
        <w:spacing w:after="0" w:line="240" w:lineRule="auto"/>
        <w:rPr>
          <w:rFonts w:cstheme="minorHAnsi"/>
          <w:color w:val="000000" w:themeColor="text1"/>
          <w:sz w:val="24"/>
        </w:rPr>
      </w:pPr>
      <w:r w:rsidRPr="008C33AD">
        <w:rPr>
          <w:rFonts w:cstheme="minorHAnsi"/>
          <w:color w:val="000000" w:themeColor="text1"/>
          <w:sz w:val="24"/>
        </w:rPr>
        <w:t xml:space="preserve">Providers will need assistance identifying grain-based desserts.  </w:t>
      </w:r>
      <w:r>
        <w:rPr>
          <w:rFonts w:cstheme="minorHAnsi"/>
          <w:color w:val="000000" w:themeColor="text1"/>
          <w:sz w:val="24"/>
        </w:rPr>
        <w:t>We recommend</w:t>
      </w:r>
      <w:r w:rsidR="00E135C5">
        <w:rPr>
          <w:rFonts w:cstheme="minorHAnsi"/>
          <w:color w:val="000000" w:themeColor="text1"/>
          <w:sz w:val="24"/>
        </w:rPr>
        <w:t xml:space="preserve"> that </w:t>
      </w:r>
      <w:r w:rsidRPr="008C33AD">
        <w:rPr>
          <w:rFonts w:cstheme="minorHAnsi"/>
          <w:color w:val="000000" w:themeColor="text1"/>
          <w:sz w:val="24"/>
        </w:rPr>
        <w:t xml:space="preserve">USDA provide a simple definition that will be easy for providers to understand and implement such as the following: </w:t>
      </w:r>
    </w:p>
    <w:p w14:paraId="3DD490F1" w14:textId="77777777" w:rsidR="007115DC" w:rsidRPr="008C33AD" w:rsidRDefault="007115DC" w:rsidP="001C3E43">
      <w:pPr>
        <w:spacing w:after="0" w:line="240" w:lineRule="auto"/>
        <w:rPr>
          <w:rFonts w:cstheme="minorHAnsi"/>
          <w:color w:val="000000" w:themeColor="text1"/>
          <w:sz w:val="24"/>
        </w:rPr>
      </w:pPr>
    </w:p>
    <w:p w14:paraId="1EC951E2" w14:textId="202B4038" w:rsidR="007115DC" w:rsidRPr="008C33AD" w:rsidRDefault="007115DC" w:rsidP="001C3E43">
      <w:pPr>
        <w:spacing w:after="0" w:line="240" w:lineRule="auto"/>
        <w:ind w:left="720"/>
        <w:rPr>
          <w:rFonts w:cstheme="minorHAnsi"/>
          <w:color w:val="000000" w:themeColor="text1"/>
          <w:sz w:val="24"/>
        </w:rPr>
      </w:pPr>
      <w:r w:rsidRPr="008C33AD">
        <w:rPr>
          <w:rFonts w:cstheme="minorHAnsi"/>
          <w:color w:val="000000" w:themeColor="text1"/>
          <w:sz w:val="24"/>
        </w:rPr>
        <w:lastRenderedPageBreak/>
        <w:t xml:space="preserve">Grain-based desserts include grain-based foods with added sugars </w:t>
      </w:r>
      <w:r w:rsidR="00C025EC">
        <w:rPr>
          <w:rFonts w:cstheme="minorHAnsi"/>
          <w:color w:val="000000" w:themeColor="text1"/>
          <w:sz w:val="24"/>
        </w:rPr>
        <w:t xml:space="preserve">or fats, </w:t>
      </w:r>
      <w:r w:rsidRPr="008C33AD">
        <w:rPr>
          <w:rFonts w:cstheme="minorHAnsi"/>
          <w:color w:val="000000" w:themeColor="text1"/>
          <w:sz w:val="24"/>
        </w:rPr>
        <w:t xml:space="preserve">such as cakes, cookies, pies, sweet rolls, pastries, donuts, </w:t>
      </w:r>
      <w:r w:rsidR="00BE296E">
        <w:rPr>
          <w:rFonts w:cstheme="minorHAnsi"/>
          <w:color w:val="000000" w:themeColor="text1"/>
          <w:sz w:val="24"/>
        </w:rPr>
        <w:t xml:space="preserve">brownies, </w:t>
      </w:r>
      <w:r w:rsidRPr="008C33AD">
        <w:rPr>
          <w:rFonts w:cstheme="minorHAnsi"/>
          <w:color w:val="000000" w:themeColor="text1"/>
          <w:sz w:val="24"/>
        </w:rPr>
        <w:t>candy, and ready-to-eat breakfast cereals with more than six grams of sugar</w:t>
      </w:r>
      <w:r w:rsidR="00C025EC">
        <w:rPr>
          <w:rFonts w:cstheme="minorHAnsi"/>
          <w:color w:val="000000" w:themeColor="text1"/>
          <w:sz w:val="24"/>
        </w:rPr>
        <w:t>s</w:t>
      </w:r>
      <w:r w:rsidRPr="008C33AD">
        <w:rPr>
          <w:rFonts w:cstheme="minorHAnsi"/>
          <w:color w:val="000000" w:themeColor="text1"/>
          <w:sz w:val="24"/>
        </w:rPr>
        <w:t xml:space="preserve"> per serving.  </w:t>
      </w:r>
    </w:p>
    <w:p w14:paraId="2C5706E5" w14:textId="77777777" w:rsidR="007115DC" w:rsidRPr="008C33AD" w:rsidRDefault="007115DC" w:rsidP="001C3E43">
      <w:pPr>
        <w:spacing w:after="0" w:line="240" w:lineRule="auto"/>
        <w:rPr>
          <w:rFonts w:cstheme="minorHAnsi"/>
          <w:color w:val="000000" w:themeColor="text1"/>
          <w:sz w:val="24"/>
        </w:rPr>
      </w:pPr>
    </w:p>
    <w:p w14:paraId="21B05716" w14:textId="77777777" w:rsidR="007115DC" w:rsidRDefault="007115DC" w:rsidP="001C3E43">
      <w:pPr>
        <w:spacing w:after="0" w:line="240" w:lineRule="auto"/>
        <w:rPr>
          <w:rFonts w:cstheme="minorHAnsi"/>
          <w:color w:val="000000" w:themeColor="text1"/>
          <w:sz w:val="24"/>
        </w:rPr>
      </w:pPr>
      <w:r w:rsidRPr="008C33AD">
        <w:rPr>
          <w:rFonts w:cstheme="minorHAnsi"/>
          <w:color w:val="000000" w:themeColor="text1"/>
          <w:sz w:val="24"/>
        </w:rPr>
        <w:t>We caution the Agency against using the same definition for grain-based desserts that is currently contained in a Question and Answer document</w:t>
      </w:r>
      <w:r>
        <w:rPr>
          <w:rFonts w:cstheme="minorHAnsi"/>
          <w:color w:val="000000" w:themeColor="text1"/>
          <w:sz w:val="24"/>
        </w:rPr>
        <w:t xml:space="preserve"> on the School Meals final rule</w:t>
      </w:r>
      <w:r w:rsidRPr="008C33AD">
        <w:rPr>
          <w:rStyle w:val="FootnoteReference"/>
          <w:rFonts w:cstheme="minorHAnsi"/>
          <w:color w:val="000000" w:themeColor="text1"/>
          <w:sz w:val="24"/>
        </w:rPr>
        <w:footnoteReference w:id="35"/>
      </w:r>
      <w:r w:rsidRPr="008C33AD">
        <w:rPr>
          <w:rFonts w:cstheme="minorHAnsi"/>
          <w:color w:val="000000" w:themeColor="text1"/>
          <w:sz w:val="24"/>
        </w:rPr>
        <w:t xml:space="preserve"> </w:t>
      </w:r>
      <w:r>
        <w:rPr>
          <w:rFonts w:cstheme="minorHAnsi"/>
          <w:color w:val="000000" w:themeColor="text1"/>
          <w:sz w:val="24"/>
        </w:rPr>
        <w:t>as t</w:t>
      </w:r>
      <w:r w:rsidRPr="008C33AD">
        <w:rPr>
          <w:rFonts w:cstheme="minorHAnsi"/>
          <w:color w:val="000000" w:themeColor="text1"/>
          <w:sz w:val="24"/>
        </w:rPr>
        <w:t>hat definition is di</w:t>
      </w:r>
      <w:r>
        <w:rPr>
          <w:rFonts w:cstheme="minorHAnsi"/>
          <w:color w:val="000000" w:themeColor="text1"/>
          <w:sz w:val="24"/>
        </w:rPr>
        <w:t>fficult to interpret and apply.</w:t>
      </w:r>
    </w:p>
    <w:p w14:paraId="05099CF2" w14:textId="77777777" w:rsidR="007115DC" w:rsidRPr="008C33AD" w:rsidRDefault="007115DC" w:rsidP="001C3E43">
      <w:pPr>
        <w:spacing w:after="0" w:line="240" w:lineRule="auto"/>
        <w:jc w:val="both"/>
        <w:rPr>
          <w:rFonts w:cstheme="minorHAnsi"/>
          <w:color w:val="000000" w:themeColor="text1"/>
          <w:sz w:val="24"/>
        </w:rPr>
      </w:pPr>
    </w:p>
    <w:p w14:paraId="5CD69AFF" w14:textId="77777777" w:rsidR="002055E8" w:rsidRDefault="00D528D1" w:rsidP="001C3E43">
      <w:pPr>
        <w:spacing w:after="0" w:line="240" w:lineRule="auto"/>
        <w:rPr>
          <w:sz w:val="24"/>
          <w:szCs w:val="24"/>
          <w:u w:val="single"/>
        </w:rPr>
      </w:pPr>
      <w:r w:rsidRPr="00D05422">
        <w:rPr>
          <w:sz w:val="24"/>
          <w:szCs w:val="24"/>
          <w:u w:val="single"/>
        </w:rPr>
        <w:t>Breakfast Cereal</w:t>
      </w:r>
    </w:p>
    <w:p w14:paraId="3005137C" w14:textId="20387F94" w:rsidR="00543D1F" w:rsidRDefault="00F6575D" w:rsidP="001C3E43">
      <w:pPr>
        <w:spacing w:after="0" w:line="240" w:lineRule="auto"/>
        <w:rPr>
          <w:sz w:val="24"/>
          <w:szCs w:val="24"/>
        </w:rPr>
      </w:pPr>
      <w:r>
        <w:rPr>
          <w:sz w:val="24"/>
          <w:szCs w:val="24"/>
        </w:rPr>
        <w:t>We support the adoption</w:t>
      </w:r>
      <w:r w:rsidR="002055E8">
        <w:rPr>
          <w:sz w:val="24"/>
          <w:szCs w:val="24"/>
        </w:rPr>
        <w:t xml:space="preserve"> of the</w:t>
      </w:r>
      <w:r>
        <w:rPr>
          <w:sz w:val="24"/>
          <w:szCs w:val="24"/>
        </w:rPr>
        <w:t xml:space="preserve"> </w:t>
      </w:r>
      <w:r w:rsidR="002055E8" w:rsidRPr="00543D1F">
        <w:rPr>
          <w:sz w:val="24"/>
          <w:szCs w:val="24"/>
        </w:rPr>
        <w:t>Women, Infants, and Children (WIC)</w:t>
      </w:r>
      <w:r w:rsidR="002055E8">
        <w:rPr>
          <w:sz w:val="24"/>
          <w:szCs w:val="24"/>
        </w:rPr>
        <w:t xml:space="preserve"> sugar</w:t>
      </w:r>
      <w:r w:rsidR="001D5DB6">
        <w:rPr>
          <w:sz w:val="24"/>
          <w:szCs w:val="24"/>
        </w:rPr>
        <w:t>s</w:t>
      </w:r>
      <w:r w:rsidR="002055E8">
        <w:rPr>
          <w:sz w:val="24"/>
          <w:szCs w:val="24"/>
        </w:rPr>
        <w:t xml:space="preserve"> standard of </w:t>
      </w:r>
      <w:r>
        <w:rPr>
          <w:sz w:val="24"/>
          <w:szCs w:val="24"/>
        </w:rPr>
        <w:t>six gram</w:t>
      </w:r>
      <w:r w:rsidR="002055E8">
        <w:rPr>
          <w:sz w:val="24"/>
          <w:szCs w:val="24"/>
        </w:rPr>
        <w:t xml:space="preserve">s of </w:t>
      </w:r>
      <w:r w:rsidR="001D5DB6">
        <w:rPr>
          <w:sz w:val="24"/>
          <w:szCs w:val="24"/>
        </w:rPr>
        <w:t xml:space="preserve">total </w:t>
      </w:r>
      <w:r w:rsidR="002055E8">
        <w:rPr>
          <w:sz w:val="24"/>
          <w:szCs w:val="24"/>
        </w:rPr>
        <w:t>sugar</w:t>
      </w:r>
      <w:r w:rsidR="001D5DB6">
        <w:rPr>
          <w:sz w:val="24"/>
          <w:szCs w:val="24"/>
        </w:rPr>
        <w:t>s</w:t>
      </w:r>
      <w:r w:rsidR="002055E8">
        <w:rPr>
          <w:sz w:val="24"/>
          <w:szCs w:val="24"/>
        </w:rPr>
        <w:t xml:space="preserve"> </w:t>
      </w:r>
      <w:r>
        <w:rPr>
          <w:sz w:val="24"/>
          <w:szCs w:val="24"/>
        </w:rPr>
        <w:t xml:space="preserve">per serving for breakfast cereal. </w:t>
      </w:r>
      <w:r w:rsidR="0092208A">
        <w:rPr>
          <w:sz w:val="24"/>
          <w:szCs w:val="24"/>
        </w:rPr>
        <w:t xml:space="preserve"> </w:t>
      </w:r>
      <w:r w:rsidR="00A563E0">
        <w:rPr>
          <w:sz w:val="24"/>
          <w:szCs w:val="24"/>
        </w:rPr>
        <w:t xml:space="preserve">The Dietary Guidelines </w:t>
      </w:r>
      <w:r w:rsidR="001D5DB6">
        <w:rPr>
          <w:sz w:val="24"/>
          <w:szCs w:val="24"/>
        </w:rPr>
        <w:t>Advisory</w:t>
      </w:r>
      <w:r w:rsidR="00A563E0">
        <w:rPr>
          <w:sz w:val="24"/>
          <w:szCs w:val="24"/>
        </w:rPr>
        <w:t xml:space="preserve"> Committee recently recommended that Americans reduce their consumption of added sugars</w:t>
      </w:r>
      <w:r w:rsidR="001D5DB6">
        <w:rPr>
          <w:sz w:val="24"/>
          <w:szCs w:val="24"/>
        </w:rPr>
        <w:t xml:space="preserve"> to no more than 10 percent of calories</w:t>
      </w:r>
      <w:r w:rsidR="00A563E0">
        <w:rPr>
          <w:sz w:val="24"/>
          <w:szCs w:val="24"/>
        </w:rPr>
        <w:t>.</w:t>
      </w:r>
      <w:r w:rsidR="00A563E0">
        <w:rPr>
          <w:rStyle w:val="FootnoteReference"/>
          <w:sz w:val="24"/>
          <w:szCs w:val="24"/>
        </w:rPr>
        <w:footnoteReference w:id="36"/>
      </w:r>
      <w:r w:rsidR="00A563E0">
        <w:rPr>
          <w:sz w:val="24"/>
          <w:szCs w:val="24"/>
        </w:rPr>
        <w:t xml:space="preserve"> </w:t>
      </w:r>
      <w:r w:rsidR="0092208A">
        <w:rPr>
          <w:sz w:val="24"/>
          <w:szCs w:val="24"/>
        </w:rPr>
        <w:t xml:space="preserve"> </w:t>
      </w:r>
      <w:r w:rsidR="00A563E0">
        <w:rPr>
          <w:sz w:val="24"/>
          <w:szCs w:val="24"/>
        </w:rPr>
        <w:t xml:space="preserve">Limiting sugars in breakfast cereals will help to reduce overall added sugars in the diets of CACFP participants. </w:t>
      </w:r>
      <w:r w:rsidR="0092208A">
        <w:rPr>
          <w:sz w:val="24"/>
          <w:szCs w:val="24"/>
        </w:rPr>
        <w:t xml:space="preserve"> </w:t>
      </w:r>
      <w:r w:rsidR="00A563E0">
        <w:rPr>
          <w:sz w:val="24"/>
          <w:szCs w:val="24"/>
        </w:rPr>
        <w:t xml:space="preserve">Aligning the </w:t>
      </w:r>
      <w:r w:rsidR="00A52EC5">
        <w:rPr>
          <w:sz w:val="24"/>
          <w:szCs w:val="24"/>
        </w:rPr>
        <w:t xml:space="preserve">CACFP </w:t>
      </w:r>
      <w:r w:rsidR="00A563E0">
        <w:rPr>
          <w:sz w:val="24"/>
          <w:szCs w:val="24"/>
        </w:rPr>
        <w:t>breakfast cereal sugars</w:t>
      </w:r>
      <w:r w:rsidR="00A52EC5">
        <w:rPr>
          <w:sz w:val="24"/>
          <w:szCs w:val="24"/>
        </w:rPr>
        <w:t xml:space="preserve"> standard </w:t>
      </w:r>
      <w:r w:rsidR="00A563E0">
        <w:rPr>
          <w:sz w:val="24"/>
          <w:szCs w:val="24"/>
        </w:rPr>
        <w:t xml:space="preserve">with WIC will help providers to identify </w:t>
      </w:r>
      <w:r w:rsidR="00A52EC5">
        <w:rPr>
          <w:sz w:val="24"/>
          <w:szCs w:val="24"/>
        </w:rPr>
        <w:t xml:space="preserve">allowable </w:t>
      </w:r>
      <w:r w:rsidR="00A563E0">
        <w:rPr>
          <w:sz w:val="24"/>
          <w:szCs w:val="24"/>
        </w:rPr>
        <w:t xml:space="preserve">cereals. </w:t>
      </w:r>
      <w:r w:rsidR="0092208A">
        <w:rPr>
          <w:sz w:val="24"/>
          <w:szCs w:val="24"/>
        </w:rPr>
        <w:t xml:space="preserve"> </w:t>
      </w:r>
      <w:r w:rsidR="00A563E0">
        <w:rPr>
          <w:sz w:val="24"/>
          <w:szCs w:val="24"/>
        </w:rPr>
        <w:t xml:space="preserve">Most states have lists of cereals that meet the WIC standards. </w:t>
      </w:r>
      <w:r w:rsidR="0092208A">
        <w:rPr>
          <w:sz w:val="24"/>
          <w:szCs w:val="24"/>
        </w:rPr>
        <w:t xml:space="preserve"> </w:t>
      </w:r>
      <w:r w:rsidR="00A563E0">
        <w:rPr>
          <w:sz w:val="24"/>
          <w:szCs w:val="24"/>
        </w:rPr>
        <w:t>Th</w:t>
      </w:r>
      <w:r w:rsidR="001D5DB6">
        <w:rPr>
          <w:sz w:val="24"/>
          <w:szCs w:val="24"/>
        </w:rPr>
        <w:t>o</w:t>
      </w:r>
      <w:r w:rsidR="00A563E0">
        <w:rPr>
          <w:sz w:val="24"/>
          <w:szCs w:val="24"/>
        </w:rPr>
        <w:t xml:space="preserve">se resources should be shared with CACFP providers </w:t>
      </w:r>
      <w:r w:rsidR="00A52EC5">
        <w:rPr>
          <w:sz w:val="24"/>
          <w:szCs w:val="24"/>
        </w:rPr>
        <w:t>through technical assistance and training</w:t>
      </w:r>
      <w:r w:rsidR="001D5DB6">
        <w:rPr>
          <w:sz w:val="24"/>
          <w:szCs w:val="24"/>
        </w:rPr>
        <w:t>s</w:t>
      </w:r>
      <w:r w:rsidR="00A52EC5">
        <w:rPr>
          <w:sz w:val="24"/>
          <w:szCs w:val="24"/>
        </w:rPr>
        <w:t>.</w:t>
      </w:r>
    </w:p>
    <w:p w14:paraId="4DC956A2" w14:textId="77777777" w:rsidR="00F6575D" w:rsidRPr="00F6575D" w:rsidRDefault="00F6575D" w:rsidP="001C3E43">
      <w:pPr>
        <w:spacing w:after="0" w:line="240" w:lineRule="auto"/>
        <w:rPr>
          <w:sz w:val="24"/>
          <w:szCs w:val="24"/>
        </w:rPr>
      </w:pPr>
    </w:p>
    <w:p w14:paraId="400D75D8" w14:textId="77777777" w:rsidR="00D528D1" w:rsidRDefault="002672E1" w:rsidP="001C3E43">
      <w:pPr>
        <w:spacing w:after="0" w:line="240" w:lineRule="auto"/>
        <w:rPr>
          <w:sz w:val="24"/>
          <w:szCs w:val="24"/>
          <w:u w:val="single"/>
        </w:rPr>
      </w:pPr>
      <w:r w:rsidRPr="00AB5F05">
        <w:rPr>
          <w:sz w:val="24"/>
          <w:szCs w:val="24"/>
          <w:u w:val="single"/>
        </w:rPr>
        <w:t>Milk and Yogurt</w:t>
      </w:r>
    </w:p>
    <w:p w14:paraId="5F6EB602" w14:textId="181F77F1" w:rsidR="00543D1F" w:rsidRPr="00543D1F" w:rsidRDefault="00543D1F" w:rsidP="001C3E43">
      <w:pPr>
        <w:spacing w:after="0" w:line="240" w:lineRule="auto"/>
        <w:rPr>
          <w:sz w:val="24"/>
          <w:szCs w:val="24"/>
        </w:rPr>
      </w:pPr>
      <w:r w:rsidRPr="00543D1F">
        <w:rPr>
          <w:sz w:val="24"/>
          <w:szCs w:val="24"/>
        </w:rPr>
        <w:t>We also support the allowance of non-dairy milk substitutions that are nutritionally equivalent to milk if requested in writing by a parent or guardian.</w:t>
      </w:r>
    </w:p>
    <w:p w14:paraId="35496310" w14:textId="77777777" w:rsidR="00543D1F" w:rsidRPr="00543D1F" w:rsidRDefault="00543D1F" w:rsidP="001C3E43">
      <w:pPr>
        <w:spacing w:after="0" w:line="240" w:lineRule="auto"/>
        <w:rPr>
          <w:sz w:val="24"/>
          <w:szCs w:val="24"/>
        </w:rPr>
      </w:pPr>
    </w:p>
    <w:p w14:paraId="5B6A2BB6" w14:textId="2C56D891" w:rsidR="00543D1F" w:rsidRPr="00543D1F" w:rsidRDefault="00543D1F" w:rsidP="001C3E43">
      <w:pPr>
        <w:spacing w:after="0" w:line="240" w:lineRule="auto"/>
        <w:rPr>
          <w:sz w:val="24"/>
          <w:szCs w:val="24"/>
        </w:rPr>
      </w:pPr>
      <w:r w:rsidRPr="004C7DDC">
        <w:rPr>
          <w:sz w:val="24"/>
          <w:szCs w:val="24"/>
        </w:rPr>
        <w:t>USDA has requested comment</w:t>
      </w:r>
      <w:r w:rsidR="00E135C5" w:rsidRPr="004C7DDC">
        <w:rPr>
          <w:sz w:val="24"/>
          <w:szCs w:val="24"/>
        </w:rPr>
        <w:t>s</w:t>
      </w:r>
      <w:r w:rsidRPr="004C7DDC">
        <w:rPr>
          <w:sz w:val="24"/>
          <w:szCs w:val="24"/>
        </w:rPr>
        <w:t xml:space="preserve"> on the service of flavored milk. </w:t>
      </w:r>
      <w:r w:rsidR="0092208A" w:rsidRPr="004C7DDC">
        <w:rPr>
          <w:sz w:val="24"/>
          <w:szCs w:val="24"/>
        </w:rPr>
        <w:t xml:space="preserve"> </w:t>
      </w:r>
      <w:r w:rsidR="00192C44">
        <w:rPr>
          <w:sz w:val="24"/>
          <w:szCs w:val="24"/>
        </w:rPr>
        <w:t>We do not support the use</w:t>
      </w:r>
      <w:r w:rsidR="00A26096">
        <w:rPr>
          <w:sz w:val="24"/>
          <w:szCs w:val="24"/>
        </w:rPr>
        <w:t xml:space="preserve"> of flavored milk in the CACFP so that children will not become accustomed to eating sugar in their milk. </w:t>
      </w:r>
      <w:r w:rsidR="00CC6470" w:rsidRPr="004C7DDC">
        <w:rPr>
          <w:sz w:val="24"/>
          <w:szCs w:val="24"/>
        </w:rPr>
        <w:t>We note</w:t>
      </w:r>
      <w:r w:rsidRPr="004C7DDC">
        <w:rPr>
          <w:sz w:val="24"/>
          <w:szCs w:val="24"/>
        </w:rPr>
        <w:t xml:space="preserve"> that flavored milk contributes to increased sugar consumption from beverages, and our preference is for children to be served unflavored milk. </w:t>
      </w:r>
      <w:r w:rsidR="0092208A" w:rsidRPr="004C7DDC">
        <w:rPr>
          <w:sz w:val="24"/>
          <w:szCs w:val="24"/>
        </w:rPr>
        <w:t xml:space="preserve"> </w:t>
      </w:r>
      <w:r w:rsidR="00C24A11" w:rsidRPr="004C7DDC">
        <w:rPr>
          <w:sz w:val="24"/>
          <w:szCs w:val="24"/>
        </w:rPr>
        <w:t>Compared to children who do not consume flavored milk, flavored-milk consumers have lower intakes of folate, vitamin A</w:t>
      </w:r>
      <w:r w:rsidR="00DA4CEB" w:rsidRPr="004C7DDC">
        <w:rPr>
          <w:sz w:val="24"/>
          <w:szCs w:val="24"/>
        </w:rPr>
        <w:t>,</w:t>
      </w:r>
      <w:r w:rsidR="00C24A11" w:rsidRPr="004C7DDC">
        <w:rPr>
          <w:sz w:val="24"/>
          <w:szCs w:val="24"/>
        </w:rPr>
        <w:t xml:space="preserve"> and vitamin C, and higher intakes of total calories and percent of energy from saturated fat.</w:t>
      </w:r>
      <w:r w:rsidR="00C24A11" w:rsidRPr="004C7DDC">
        <w:rPr>
          <w:rStyle w:val="FootnoteReference"/>
          <w:sz w:val="24"/>
          <w:szCs w:val="24"/>
        </w:rPr>
        <w:footnoteReference w:id="37"/>
      </w:r>
      <w:r w:rsidR="00C24A11" w:rsidRPr="004C7DDC">
        <w:rPr>
          <w:sz w:val="24"/>
          <w:szCs w:val="24"/>
          <w:vertAlign w:val="superscript"/>
        </w:rPr>
        <w:t>,</w:t>
      </w:r>
      <w:r w:rsidR="00C24A11" w:rsidRPr="004C7DDC">
        <w:rPr>
          <w:rStyle w:val="FootnoteReference"/>
          <w:sz w:val="24"/>
          <w:szCs w:val="24"/>
        </w:rPr>
        <w:footnoteReference w:id="38"/>
      </w:r>
      <w:r w:rsidR="00C24A11" w:rsidRPr="004C7DDC">
        <w:rPr>
          <w:sz w:val="24"/>
          <w:szCs w:val="24"/>
          <w:vertAlign w:val="superscript"/>
        </w:rPr>
        <w:t>,</w:t>
      </w:r>
      <w:r w:rsidR="00C24A11" w:rsidRPr="004C7DDC">
        <w:rPr>
          <w:rStyle w:val="FootnoteReference"/>
          <w:sz w:val="24"/>
          <w:szCs w:val="24"/>
        </w:rPr>
        <w:footnoteReference w:id="39"/>
      </w:r>
      <w:r w:rsidR="00C24A11" w:rsidRPr="004C7DDC">
        <w:rPr>
          <w:sz w:val="24"/>
          <w:szCs w:val="24"/>
        </w:rPr>
        <w:t xml:space="preserve"> </w:t>
      </w:r>
      <w:r w:rsidR="0092208A" w:rsidRPr="004C7DDC">
        <w:rPr>
          <w:sz w:val="24"/>
          <w:szCs w:val="24"/>
        </w:rPr>
        <w:t xml:space="preserve"> </w:t>
      </w:r>
      <w:r w:rsidR="00CC6470" w:rsidRPr="004C7DDC">
        <w:rPr>
          <w:sz w:val="24"/>
          <w:szCs w:val="24"/>
        </w:rPr>
        <w:t>W</w:t>
      </w:r>
      <w:r w:rsidR="00F6575D" w:rsidRPr="004C7DDC">
        <w:rPr>
          <w:sz w:val="24"/>
          <w:szCs w:val="24"/>
        </w:rPr>
        <w:t xml:space="preserve">e recommend that USDA adopt </w:t>
      </w:r>
      <w:r w:rsidR="0061714D" w:rsidRPr="004C7DDC">
        <w:rPr>
          <w:sz w:val="24"/>
          <w:szCs w:val="24"/>
        </w:rPr>
        <w:t xml:space="preserve">a modified version of </w:t>
      </w:r>
      <w:r w:rsidR="00C24A11" w:rsidRPr="004C7DDC">
        <w:rPr>
          <w:sz w:val="24"/>
          <w:szCs w:val="24"/>
        </w:rPr>
        <w:t>alternative A1—pr</w:t>
      </w:r>
      <w:r w:rsidRPr="004C7DDC">
        <w:rPr>
          <w:sz w:val="24"/>
          <w:szCs w:val="24"/>
        </w:rPr>
        <w:t>ohibiting the service of flavored milk to children two through four years</w:t>
      </w:r>
      <w:r w:rsidR="00DB3E1B" w:rsidRPr="004C7DDC">
        <w:rPr>
          <w:sz w:val="24"/>
          <w:szCs w:val="24"/>
        </w:rPr>
        <w:t>.</w:t>
      </w:r>
      <w:r w:rsidR="00F444D8" w:rsidRPr="004C7DDC">
        <w:rPr>
          <w:sz w:val="24"/>
          <w:szCs w:val="24"/>
        </w:rPr>
        <w:t xml:space="preserve"> </w:t>
      </w:r>
      <w:r w:rsidR="00DB3E1B" w:rsidRPr="004C7DDC">
        <w:rPr>
          <w:sz w:val="24"/>
          <w:szCs w:val="24"/>
        </w:rPr>
        <w:t xml:space="preserve"> We </w:t>
      </w:r>
      <w:r w:rsidR="00F444D8" w:rsidRPr="004C7DDC">
        <w:rPr>
          <w:sz w:val="24"/>
          <w:szCs w:val="24"/>
        </w:rPr>
        <w:t>recommend that the age group be extended to two through five.</w:t>
      </w:r>
      <w:r w:rsidR="0061714D" w:rsidRPr="004C7DDC">
        <w:rPr>
          <w:sz w:val="24"/>
          <w:szCs w:val="24"/>
        </w:rPr>
        <w:t xml:space="preserve"> </w:t>
      </w:r>
      <w:r w:rsidR="0092208A" w:rsidRPr="004C7DDC">
        <w:rPr>
          <w:sz w:val="24"/>
          <w:szCs w:val="24"/>
        </w:rPr>
        <w:t xml:space="preserve"> </w:t>
      </w:r>
      <w:r w:rsidR="00F444D8" w:rsidRPr="004C7DDC">
        <w:rPr>
          <w:sz w:val="24"/>
          <w:szCs w:val="24"/>
        </w:rPr>
        <w:t>Though children can e</w:t>
      </w:r>
      <w:r w:rsidR="0061714D" w:rsidRPr="004C7DDC">
        <w:rPr>
          <w:sz w:val="24"/>
          <w:szCs w:val="24"/>
        </w:rPr>
        <w:t xml:space="preserve">nter kindergarten at age </w:t>
      </w:r>
      <w:r w:rsidR="00F444D8" w:rsidRPr="004C7DDC">
        <w:rPr>
          <w:sz w:val="24"/>
          <w:szCs w:val="24"/>
        </w:rPr>
        <w:t xml:space="preserve">five, </w:t>
      </w:r>
      <w:r w:rsidR="00F6575D" w:rsidRPr="004C7DDC">
        <w:rPr>
          <w:sz w:val="24"/>
          <w:szCs w:val="24"/>
        </w:rPr>
        <w:t xml:space="preserve">many </w:t>
      </w:r>
      <w:r w:rsidR="00E135C5" w:rsidRPr="004C7DDC">
        <w:rPr>
          <w:sz w:val="24"/>
          <w:szCs w:val="24"/>
        </w:rPr>
        <w:t>five year</w:t>
      </w:r>
      <w:r w:rsidR="008E46D6" w:rsidRPr="004C7DDC">
        <w:rPr>
          <w:sz w:val="24"/>
          <w:szCs w:val="24"/>
        </w:rPr>
        <w:t xml:space="preserve"> old </w:t>
      </w:r>
      <w:r w:rsidR="00F6575D" w:rsidRPr="004C7DDC">
        <w:rPr>
          <w:sz w:val="24"/>
          <w:szCs w:val="24"/>
        </w:rPr>
        <w:t>children</w:t>
      </w:r>
      <w:r w:rsidR="008E46D6" w:rsidRPr="004C7DDC">
        <w:rPr>
          <w:sz w:val="24"/>
          <w:szCs w:val="24"/>
        </w:rPr>
        <w:t xml:space="preserve"> are</w:t>
      </w:r>
      <w:r w:rsidR="00F6575D" w:rsidRPr="004C7DDC">
        <w:rPr>
          <w:sz w:val="24"/>
          <w:szCs w:val="24"/>
        </w:rPr>
        <w:t xml:space="preserve"> in full-day child care. </w:t>
      </w:r>
      <w:r w:rsidR="0092208A" w:rsidRPr="004C7DDC">
        <w:rPr>
          <w:sz w:val="24"/>
          <w:szCs w:val="24"/>
        </w:rPr>
        <w:t xml:space="preserve"> </w:t>
      </w:r>
      <w:r w:rsidR="00F444D8" w:rsidRPr="004C7DDC">
        <w:rPr>
          <w:sz w:val="24"/>
          <w:szCs w:val="24"/>
        </w:rPr>
        <w:t xml:space="preserve">For ease of implementation, it would be </w:t>
      </w:r>
      <w:r w:rsidR="008E46D6" w:rsidRPr="004C7DDC">
        <w:rPr>
          <w:sz w:val="24"/>
          <w:szCs w:val="24"/>
        </w:rPr>
        <w:t>easier</w:t>
      </w:r>
      <w:r w:rsidR="00F444D8" w:rsidRPr="004C7DDC">
        <w:rPr>
          <w:sz w:val="24"/>
          <w:szCs w:val="24"/>
        </w:rPr>
        <w:t xml:space="preserve"> if all preschool children had the same flavored milk standard.</w:t>
      </w:r>
      <w:r w:rsidR="00F6575D" w:rsidRPr="004C7DDC">
        <w:rPr>
          <w:sz w:val="24"/>
          <w:szCs w:val="24"/>
        </w:rPr>
        <w:t xml:space="preserve"> </w:t>
      </w:r>
      <w:r w:rsidR="00A26096">
        <w:rPr>
          <w:sz w:val="24"/>
          <w:szCs w:val="24"/>
        </w:rPr>
        <w:t xml:space="preserve">If it is allowed, we prefer </w:t>
      </w:r>
      <w:r w:rsidR="00A26096" w:rsidRPr="004C7DDC">
        <w:rPr>
          <w:sz w:val="24"/>
          <w:szCs w:val="24"/>
        </w:rPr>
        <w:t xml:space="preserve">allowing </w:t>
      </w:r>
      <w:r w:rsidR="00A26096">
        <w:rPr>
          <w:sz w:val="24"/>
          <w:szCs w:val="24"/>
        </w:rPr>
        <w:t>1%</w:t>
      </w:r>
      <w:r w:rsidR="00A26096" w:rsidRPr="004C7DDC">
        <w:rPr>
          <w:sz w:val="24"/>
          <w:szCs w:val="24"/>
        </w:rPr>
        <w:t xml:space="preserve"> flavored milk</w:t>
      </w:r>
      <w:r w:rsidR="00A26096">
        <w:rPr>
          <w:sz w:val="24"/>
          <w:szCs w:val="24"/>
        </w:rPr>
        <w:t>, so that there is some fat to slow the absorption of the sugar in the milk.</w:t>
      </w:r>
      <w:r w:rsidR="00A26096" w:rsidRPr="004C7DDC">
        <w:rPr>
          <w:sz w:val="24"/>
          <w:szCs w:val="24"/>
        </w:rPr>
        <w:t xml:space="preserve"> </w:t>
      </w:r>
      <w:r w:rsidR="0092208A" w:rsidRPr="004C7DDC">
        <w:rPr>
          <w:sz w:val="24"/>
          <w:szCs w:val="24"/>
        </w:rPr>
        <w:t xml:space="preserve"> </w:t>
      </w:r>
      <w:r w:rsidR="00F6575D" w:rsidRPr="004C7DDC">
        <w:rPr>
          <w:sz w:val="24"/>
          <w:szCs w:val="24"/>
        </w:rPr>
        <w:t xml:space="preserve">For </w:t>
      </w:r>
      <w:r w:rsidR="00F444D8" w:rsidRPr="004C7DDC">
        <w:rPr>
          <w:sz w:val="24"/>
          <w:szCs w:val="24"/>
        </w:rPr>
        <w:t>school-aged children, we</w:t>
      </w:r>
      <w:r w:rsidR="00F6575D" w:rsidRPr="004C7DDC">
        <w:rPr>
          <w:sz w:val="24"/>
          <w:szCs w:val="24"/>
        </w:rPr>
        <w:t xml:space="preserve"> recommend</w:t>
      </w:r>
      <w:r w:rsidR="00C24A11" w:rsidRPr="004C7DDC">
        <w:rPr>
          <w:sz w:val="24"/>
          <w:szCs w:val="24"/>
        </w:rPr>
        <w:t xml:space="preserve"> adopting alternative B1—l</w:t>
      </w:r>
      <w:r w:rsidRPr="004C7DDC">
        <w:rPr>
          <w:sz w:val="24"/>
          <w:szCs w:val="24"/>
        </w:rPr>
        <w:t xml:space="preserve">imiting sugar content of flavored milk to no more than </w:t>
      </w:r>
      <w:r w:rsidR="00AB5F05">
        <w:rPr>
          <w:sz w:val="24"/>
          <w:szCs w:val="24"/>
        </w:rPr>
        <w:t>18</w:t>
      </w:r>
      <w:r w:rsidRPr="004C7DDC">
        <w:rPr>
          <w:sz w:val="24"/>
          <w:szCs w:val="24"/>
        </w:rPr>
        <w:t xml:space="preserve"> grams per eight fluid ounces as part of th</w:t>
      </w:r>
      <w:r w:rsidR="00F444D8" w:rsidRPr="004C7DDC">
        <w:rPr>
          <w:sz w:val="24"/>
          <w:szCs w:val="24"/>
        </w:rPr>
        <w:t xml:space="preserve">e CACFP meal </w:t>
      </w:r>
      <w:r w:rsidR="00F444D8" w:rsidRPr="004C7DDC">
        <w:rPr>
          <w:sz w:val="24"/>
          <w:szCs w:val="24"/>
        </w:rPr>
        <w:lastRenderedPageBreak/>
        <w:t xml:space="preserve">pattern requirement. </w:t>
      </w:r>
      <w:r w:rsidR="0092208A" w:rsidRPr="004C7DDC">
        <w:rPr>
          <w:sz w:val="24"/>
          <w:szCs w:val="24"/>
        </w:rPr>
        <w:t xml:space="preserve"> </w:t>
      </w:r>
      <w:r w:rsidR="00224FA8" w:rsidRPr="004C7DDC">
        <w:rPr>
          <w:sz w:val="24"/>
          <w:szCs w:val="24"/>
        </w:rPr>
        <w:t>Unlike a</w:t>
      </w:r>
      <w:r w:rsidR="0061714D" w:rsidRPr="004C7DDC">
        <w:rPr>
          <w:sz w:val="24"/>
          <w:szCs w:val="24"/>
        </w:rPr>
        <w:t xml:space="preserve">lternative A1, </w:t>
      </w:r>
      <w:r w:rsidR="0061714D" w:rsidRPr="004C7DDC">
        <w:rPr>
          <w:rFonts w:cs="Times New Roman"/>
          <w:color w:val="000000"/>
          <w:sz w:val="24"/>
          <w:szCs w:val="24"/>
        </w:rPr>
        <w:t xml:space="preserve">we do not recommend modifying the age group, but rather keeping it at five years of age and older.  We recognize that 5-year olds will be represented in both settings depending on the timing of when they enter kindergarten. </w:t>
      </w:r>
      <w:r w:rsidR="0092208A" w:rsidRPr="004C7DDC">
        <w:rPr>
          <w:rFonts w:cs="Times New Roman"/>
          <w:color w:val="000000"/>
          <w:sz w:val="24"/>
          <w:szCs w:val="24"/>
        </w:rPr>
        <w:t xml:space="preserve"> </w:t>
      </w:r>
      <w:r w:rsidR="00FB6FCD" w:rsidRPr="004C7DDC">
        <w:rPr>
          <w:sz w:val="24"/>
          <w:szCs w:val="24"/>
        </w:rPr>
        <w:t xml:space="preserve">If mixed age groups are together in the same facility, </w:t>
      </w:r>
      <w:r w:rsidR="00224FA8" w:rsidRPr="004C7DDC">
        <w:rPr>
          <w:sz w:val="24"/>
          <w:szCs w:val="24"/>
        </w:rPr>
        <w:t>we recommend the stronger standard</w:t>
      </w:r>
      <w:r w:rsidR="00FB6FCD" w:rsidRPr="004C7DDC">
        <w:rPr>
          <w:sz w:val="24"/>
          <w:szCs w:val="24"/>
        </w:rPr>
        <w:t xml:space="preserve"> be followed.</w:t>
      </w:r>
    </w:p>
    <w:p w14:paraId="131BC939" w14:textId="77777777" w:rsidR="00543D1F" w:rsidRPr="00543D1F" w:rsidRDefault="00543D1F" w:rsidP="001C3E43">
      <w:pPr>
        <w:spacing w:after="0" w:line="240" w:lineRule="auto"/>
        <w:rPr>
          <w:sz w:val="24"/>
          <w:szCs w:val="24"/>
        </w:rPr>
      </w:pPr>
    </w:p>
    <w:p w14:paraId="2C035CF6" w14:textId="4C5E4972" w:rsidR="002E2B6C" w:rsidRDefault="00543D1F" w:rsidP="001C3E43">
      <w:pPr>
        <w:spacing w:after="0" w:line="240" w:lineRule="auto"/>
        <w:rPr>
          <w:sz w:val="24"/>
          <w:szCs w:val="24"/>
        </w:rPr>
      </w:pPr>
      <w:r w:rsidRPr="00543D1F">
        <w:rPr>
          <w:sz w:val="24"/>
          <w:szCs w:val="24"/>
        </w:rPr>
        <w:t xml:space="preserve">USDA has similarly requested comments on restricting sugar content for yogurt. </w:t>
      </w:r>
      <w:r w:rsidR="0092208A">
        <w:rPr>
          <w:sz w:val="24"/>
          <w:szCs w:val="24"/>
        </w:rPr>
        <w:t xml:space="preserve"> </w:t>
      </w:r>
      <w:r w:rsidR="00F444D8">
        <w:rPr>
          <w:sz w:val="24"/>
          <w:szCs w:val="24"/>
        </w:rPr>
        <w:t>We recommend</w:t>
      </w:r>
      <w:r w:rsidR="002E2B6C">
        <w:rPr>
          <w:sz w:val="24"/>
          <w:szCs w:val="24"/>
        </w:rPr>
        <w:t xml:space="preserve"> that USDA require that </w:t>
      </w:r>
      <w:r w:rsidRPr="00543D1F">
        <w:rPr>
          <w:sz w:val="24"/>
          <w:szCs w:val="24"/>
        </w:rPr>
        <w:t xml:space="preserve">yogurt </w:t>
      </w:r>
      <w:r w:rsidR="00F444D8">
        <w:rPr>
          <w:sz w:val="24"/>
          <w:szCs w:val="24"/>
        </w:rPr>
        <w:t xml:space="preserve">available through </w:t>
      </w:r>
      <w:r w:rsidR="002E2B6C">
        <w:rPr>
          <w:sz w:val="24"/>
          <w:szCs w:val="24"/>
        </w:rPr>
        <w:t xml:space="preserve">CACFP </w:t>
      </w:r>
      <w:r w:rsidR="00F444D8">
        <w:rPr>
          <w:sz w:val="24"/>
          <w:szCs w:val="24"/>
        </w:rPr>
        <w:t xml:space="preserve">meet a sugar standard, though we recommend a stronger sugar standard than USDA </w:t>
      </w:r>
      <w:r w:rsidR="002E2B6C">
        <w:rPr>
          <w:sz w:val="24"/>
          <w:szCs w:val="24"/>
        </w:rPr>
        <w:t>suggested</w:t>
      </w:r>
      <w:r w:rsidR="00F444D8">
        <w:rPr>
          <w:sz w:val="24"/>
          <w:szCs w:val="24"/>
        </w:rPr>
        <w:t xml:space="preserve">. </w:t>
      </w:r>
      <w:r w:rsidR="0092208A">
        <w:rPr>
          <w:sz w:val="24"/>
          <w:szCs w:val="24"/>
        </w:rPr>
        <w:t xml:space="preserve"> </w:t>
      </w:r>
      <w:r w:rsidR="00F444D8">
        <w:rPr>
          <w:sz w:val="24"/>
          <w:szCs w:val="24"/>
        </w:rPr>
        <w:t>Thirty</w:t>
      </w:r>
      <w:r w:rsidRPr="00543D1F">
        <w:rPr>
          <w:sz w:val="24"/>
          <w:szCs w:val="24"/>
        </w:rPr>
        <w:t xml:space="preserve"> grams of sugar per six </w:t>
      </w:r>
      <w:r w:rsidR="00F444D8">
        <w:rPr>
          <w:sz w:val="24"/>
          <w:szCs w:val="24"/>
        </w:rPr>
        <w:t xml:space="preserve">ounces is too </w:t>
      </w:r>
      <w:r w:rsidR="008E46D6">
        <w:rPr>
          <w:sz w:val="24"/>
          <w:szCs w:val="24"/>
        </w:rPr>
        <w:t>high</w:t>
      </w:r>
      <w:r w:rsidR="00F444D8">
        <w:rPr>
          <w:sz w:val="24"/>
          <w:szCs w:val="24"/>
        </w:rPr>
        <w:t xml:space="preserve">, </w:t>
      </w:r>
      <w:r w:rsidRPr="00543D1F">
        <w:rPr>
          <w:sz w:val="24"/>
          <w:szCs w:val="24"/>
        </w:rPr>
        <w:t>very few products on the market (even those with candy and cookies in them) would be disallowed by this standard.</w:t>
      </w:r>
      <w:r w:rsidR="00F444D8">
        <w:rPr>
          <w:sz w:val="24"/>
          <w:szCs w:val="24"/>
        </w:rPr>
        <w:t xml:space="preserve"> </w:t>
      </w:r>
      <w:r w:rsidR="0092208A">
        <w:rPr>
          <w:sz w:val="24"/>
          <w:szCs w:val="24"/>
        </w:rPr>
        <w:t xml:space="preserve"> </w:t>
      </w:r>
      <w:r w:rsidR="00AB5F05">
        <w:rPr>
          <w:sz w:val="24"/>
          <w:szCs w:val="24"/>
        </w:rPr>
        <w:t>Instead we recommend 20</w:t>
      </w:r>
      <w:r w:rsidR="00F444D8">
        <w:rPr>
          <w:sz w:val="24"/>
          <w:szCs w:val="24"/>
        </w:rPr>
        <w:t xml:space="preserve"> grams per six ounces. </w:t>
      </w:r>
      <w:r w:rsidR="0092208A">
        <w:rPr>
          <w:sz w:val="24"/>
          <w:szCs w:val="24"/>
        </w:rPr>
        <w:t xml:space="preserve"> </w:t>
      </w:r>
      <w:r w:rsidR="00F444D8">
        <w:rPr>
          <w:sz w:val="24"/>
          <w:szCs w:val="24"/>
        </w:rPr>
        <w:t>This standard would disa</w:t>
      </w:r>
      <w:r w:rsidR="002E2B6C">
        <w:rPr>
          <w:sz w:val="24"/>
          <w:szCs w:val="24"/>
        </w:rPr>
        <w:t>llow the yogurts with</w:t>
      </w:r>
      <w:r w:rsidR="00CF7934">
        <w:rPr>
          <w:sz w:val="24"/>
          <w:szCs w:val="24"/>
        </w:rPr>
        <w:t xml:space="preserve"> candy, cookies, and other flavored yogurts with</w:t>
      </w:r>
      <w:r w:rsidR="002E2B6C">
        <w:rPr>
          <w:sz w:val="24"/>
          <w:szCs w:val="24"/>
        </w:rPr>
        <w:t xml:space="preserve"> high sugar content, w</w:t>
      </w:r>
      <w:r w:rsidR="00CF7934">
        <w:rPr>
          <w:sz w:val="24"/>
          <w:szCs w:val="24"/>
        </w:rPr>
        <w:t xml:space="preserve">hile allowing </w:t>
      </w:r>
      <w:r w:rsidR="002E2B6C">
        <w:rPr>
          <w:sz w:val="24"/>
          <w:szCs w:val="24"/>
        </w:rPr>
        <w:t>flavored yogurts with a more reasonabl</w:t>
      </w:r>
      <w:r w:rsidR="00CF7934">
        <w:rPr>
          <w:sz w:val="24"/>
          <w:szCs w:val="24"/>
        </w:rPr>
        <w:t xml:space="preserve">e amount of sugar. </w:t>
      </w:r>
      <w:r w:rsidR="0092208A">
        <w:rPr>
          <w:sz w:val="24"/>
          <w:szCs w:val="24"/>
        </w:rPr>
        <w:t xml:space="preserve"> </w:t>
      </w:r>
      <w:r w:rsidR="00AB5F05">
        <w:rPr>
          <w:sz w:val="24"/>
          <w:szCs w:val="24"/>
        </w:rPr>
        <w:t>We choose 20</w:t>
      </w:r>
      <w:r w:rsidR="00CF7934">
        <w:rPr>
          <w:sz w:val="24"/>
          <w:szCs w:val="24"/>
        </w:rPr>
        <w:t xml:space="preserve"> grams per six ounces, because </w:t>
      </w:r>
      <w:proofErr w:type="spellStart"/>
      <w:r w:rsidR="002E2B6C">
        <w:rPr>
          <w:sz w:val="24"/>
          <w:szCs w:val="24"/>
        </w:rPr>
        <w:t>Dannon</w:t>
      </w:r>
      <w:proofErr w:type="spellEnd"/>
      <w:r w:rsidR="007115DC">
        <w:rPr>
          <w:sz w:val="24"/>
          <w:szCs w:val="24"/>
        </w:rPr>
        <w:t>, a yogurt producer whose</w:t>
      </w:r>
      <w:r w:rsidR="00FB6FCD">
        <w:rPr>
          <w:sz w:val="24"/>
          <w:szCs w:val="24"/>
        </w:rPr>
        <w:t xml:space="preserve"> products are available nation</w:t>
      </w:r>
      <w:r w:rsidR="00CF7934">
        <w:rPr>
          <w:sz w:val="24"/>
          <w:szCs w:val="24"/>
        </w:rPr>
        <w:t>wide,</w:t>
      </w:r>
      <w:r w:rsidR="002E2B6C">
        <w:rPr>
          <w:sz w:val="24"/>
          <w:szCs w:val="24"/>
        </w:rPr>
        <w:t xml:space="preserve"> made a pledge </w:t>
      </w:r>
      <w:r w:rsidR="008E46D6">
        <w:rPr>
          <w:sz w:val="24"/>
          <w:szCs w:val="24"/>
        </w:rPr>
        <w:t>through</w:t>
      </w:r>
      <w:r w:rsidR="002E2B6C">
        <w:rPr>
          <w:sz w:val="24"/>
          <w:szCs w:val="24"/>
        </w:rPr>
        <w:t xml:space="preserve"> the Partnership for a Healthier America to r</w:t>
      </w:r>
      <w:r w:rsidR="002E2B6C" w:rsidRPr="002E2B6C">
        <w:rPr>
          <w:sz w:val="24"/>
          <w:szCs w:val="24"/>
        </w:rPr>
        <w:t xml:space="preserve">educe the amount of total sugar in </w:t>
      </w:r>
      <w:proofErr w:type="spellStart"/>
      <w:r w:rsidR="002E2B6C" w:rsidRPr="002E2B6C">
        <w:rPr>
          <w:sz w:val="24"/>
          <w:szCs w:val="24"/>
        </w:rPr>
        <w:t>Dannon</w:t>
      </w:r>
      <w:proofErr w:type="spellEnd"/>
      <w:r w:rsidR="002E2B6C" w:rsidRPr="002E2B6C">
        <w:rPr>
          <w:sz w:val="24"/>
          <w:szCs w:val="24"/>
        </w:rPr>
        <w:t xml:space="preserve"> pro</w:t>
      </w:r>
      <w:r w:rsidR="00AB5F05">
        <w:rPr>
          <w:sz w:val="24"/>
          <w:szCs w:val="24"/>
        </w:rPr>
        <w:t>ducts to 20</w:t>
      </w:r>
      <w:r w:rsidR="00E5212C">
        <w:rPr>
          <w:sz w:val="24"/>
          <w:szCs w:val="24"/>
        </w:rPr>
        <w:t xml:space="preserve"> grams or less per six</w:t>
      </w:r>
      <w:r w:rsidR="002E2B6C">
        <w:rPr>
          <w:sz w:val="24"/>
          <w:szCs w:val="24"/>
        </w:rPr>
        <w:t xml:space="preserve"> ounce serving</w:t>
      </w:r>
      <w:r w:rsidR="002E2B6C" w:rsidRPr="002E2B6C">
        <w:rPr>
          <w:sz w:val="24"/>
          <w:szCs w:val="24"/>
        </w:rPr>
        <w:t xml:space="preserve"> in 100% of products for children and 70% of the company’s products overall</w:t>
      </w:r>
      <w:r w:rsidR="002E2B6C">
        <w:rPr>
          <w:sz w:val="24"/>
          <w:szCs w:val="24"/>
        </w:rPr>
        <w:t xml:space="preserve"> by 2016</w:t>
      </w:r>
      <w:r w:rsidR="002E2B6C" w:rsidRPr="002E2B6C">
        <w:rPr>
          <w:sz w:val="24"/>
          <w:szCs w:val="24"/>
        </w:rPr>
        <w:t>.</w:t>
      </w:r>
      <w:r w:rsidR="002E2B6C">
        <w:rPr>
          <w:rStyle w:val="FootnoteReference"/>
          <w:sz w:val="24"/>
          <w:szCs w:val="24"/>
        </w:rPr>
        <w:footnoteReference w:id="40"/>
      </w:r>
      <w:r w:rsidR="00CF7934">
        <w:rPr>
          <w:sz w:val="24"/>
          <w:szCs w:val="24"/>
        </w:rPr>
        <w:t xml:space="preserve"> </w:t>
      </w:r>
      <w:r w:rsidR="0092208A">
        <w:rPr>
          <w:sz w:val="24"/>
          <w:szCs w:val="24"/>
        </w:rPr>
        <w:t xml:space="preserve"> </w:t>
      </w:r>
      <w:r w:rsidR="00342E63">
        <w:rPr>
          <w:sz w:val="24"/>
          <w:szCs w:val="24"/>
        </w:rPr>
        <w:t>Many yogurts on the mark</w:t>
      </w:r>
      <w:r w:rsidR="00AB5F05">
        <w:rPr>
          <w:sz w:val="24"/>
          <w:szCs w:val="24"/>
        </w:rPr>
        <w:t>et today meet the 20</w:t>
      </w:r>
      <w:r w:rsidR="002F436E">
        <w:rPr>
          <w:sz w:val="24"/>
          <w:szCs w:val="24"/>
        </w:rPr>
        <w:t xml:space="preserve"> grams per six ounce</w:t>
      </w:r>
      <w:r w:rsidR="00342E63">
        <w:rPr>
          <w:sz w:val="24"/>
          <w:szCs w:val="24"/>
        </w:rPr>
        <w:t xml:space="preserve"> standard and b</w:t>
      </w:r>
      <w:r w:rsidR="00E5212C">
        <w:rPr>
          <w:sz w:val="24"/>
          <w:szCs w:val="24"/>
        </w:rPr>
        <w:t xml:space="preserve">y the time these CACFP updates are implemented, </w:t>
      </w:r>
      <w:r w:rsidR="008E46D6">
        <w:rPr>
          <w:sz w:val="24"/>
          <w:szCs w:val="24"/>
        </w:rPr>
        <w:t xml:space="preserve">many </w:t>
      </w:r>
      <w:proofErr w:type="spellStart"/>
      <w:r w:rsidR="00E5212C">
        <w:rPr>
          <w:sz w:val="24"/>
          <w:szCs w:val="24"/>
        </w:rPr>
        <w:t>Dannon</w:t>
      </w:r>
      <w:proofErr w:type="spellEnd"/>
      <w:r w:rsidR="00E5212C">
        <w:rPr>
          <w:sz w:val="24"/>
          <w:szCs w:val="24"/>
        </w:rPr>
        <w:t xml:space="preserve"> yogurt a</w:t>
      </w:r>
      <w:r w:rsidR="00AB5F05">
        <w:rPr>
          <w:sz w:val="24"/>
          <w:szCs w:val="24"/>
        </w:rPr>
        <w:t>cross the country will be 20</w:t>
      </w:r>
      <w:r w:rsidR="002F436E">
        <w:rPr>
          <w:sz w:val="24"/>
          <w:szCs w:val="24"/>
        </w:rPr>
        <w:t xml:space="preserve"> gram</w:t>
      </w:r>
      <w:r w:rsidR="00E135C5">
        <w:rPr>
          <w:sz w:val="24"/>
          <w:szCs w:val="24"/>
        </w:rPr>
        <w:t>s</w:t>
      </w:r>
      <w:r w:rsidR="002F436E">
        <w:rPr>
          <w:sz w:val="24"/>
          <w:szCs w:val="24"/>
        </w:rPr>
        <w:t xml:space="preserve"> </w:t>
      </w:r>
      <w:r w:rsidR="008E46D6">
        <w:rPr>
          <w:sz w:val="24"/>
          <w:szCs w:val="24"/>
        </w:rPr>
        <w:t xml:space="preserve">or less of sugar </w:t>
      </w:r>
      <w:r w:rsidR="002F436E">
        <w:rPr>
          <w:sz w:val="24"/>
          <w:szCs w:val="24"/>
        </w:rPr>
        <w:t>per six ounces</w:t>
      </w:r>
      <w:r w:rsidR="00342E63">
        <w:rPr>
          <w:sz w:val="24"/>
          <w:szCs w:val="24"/>
        </w:rPr>
        <w:t>.</w:t>
      </w:r>
    </w:p>
    <w:p w14:paraId="18120743" w14:textId="77777777" w:rsidR="00342E63" w:rsidRDefault="00342E63" w:rsidP="001C3E43">
      <w:pPr>
        <w:spacing w:after="0" w:line="240" w:lineRule="auto"/>
        <w:rPr>
          <w:sz w:val="24"/>
          <w:szCs w:val="24"/>
        </w:rPr>
      </w:pPr>
    </w:p>
    <w:p w14:paraId="06AD4A2B" w14:textId="2377209A" w:rsidR="00342E63" w:rsidRDefault="003C6098" w:rsidP="001C3E43">
      <w:pPr>
        <w:spacing w:after="0" w:line="240" w:lineRule="auto"/>
        <w:rPr>
          <w:sz w:val="24"/>
          <w:szCs w:val="24"/>
        </w:rPr>
      </w:pPr>
      <w:r>
        <w:rPr>
          <w:sz w:val="24"/>
          <w:szCs w:val="24"/>
        </w:rPr>
        <w:t>To support</w:t>
      </w:r>
      <w:r w:rsidR="00342E63">
        <w:rPr>
          <w:sz w:val="24"/>
          <w:szCs w:val="24"/>
        </w:rPr>
        <w:t xml:space="preserve"> implementation, providers will need technical assistance and support to understand these new sugar standards. </w:t>
      </w:r>
      <w:r w:rsidR="0092208A">
        <w:rPr>
          <w:sz w:val="24"/>
          <w:szCs w:val="24"/>
        </w:rPr>
        <w:t xml:space="preserve"> </w:t>
      </w:r>
      <w:r w:rsidR="00342E63">
        <w:rPr>
          <w:sz w:val="24"/>
          <w:szCs w:val="24"/>
        </w:rPr>
        <w:t xml:space="preserve">We recommend that USDA create a </w:t>
      </w:r>
      <w:r w:rsidR="00FB6FCD">
        <w:rPr>
          <w:sz w:val="24"/>
          <w:szCs w:val="24"/>
        </w:rPr>
        <w:t>resource with the allowable amoun</w:t>
      </w:r>
      <w:r w:rsidR="00342E63">
        <w:rPr>
          <w:sz w:val="24"/>
          <w:szCs w:val="24"/>
        </w:rPr>
        <w:t xml:space="preserve">t of sugar per four, six, and eight ounce yogurt servings. </w:t>
      </w:r>
      <w:r w:rsidR="0092208A">
        <w:rPr>
          <w:sz w:val="24"/>
          <w:szCs w:val="24"/>
        </w:rPr>
        <w:t xml:space="preserve"> </w:t>
      </w:r>
      <w:r w:rsidR="00342E63">
        <w:rPr>
          <w:sz w:val="24"/>
          <w:szCs w:val="24"/>
        </w:rPr>
        <w:t xml:space="preserve">In addition, USDA should offer guidance on flavored milk that is prepared on-site by adding syrups or powders to plain milk. </w:t>
      </w:r>
    </w:p>
    <w:p w14:paraId="41030945" w14:textId="77777777" w:rsidR="00E5212C" w:rsidRPr="002E2B6C" w:rsidRDefault="00E5212C" w:rsidP="001C3E43">
      <w:pPr>
        <w:spacing w:after="0" w:line="240" w:lineRule="auto"/>
        <w:rPr>
          <w:sz w:val="24"/>
          <w:szCs w:val="24"/>
        </w:rPr>
      </w:pPr>
    </w:p>
    <w:p w14:paraId="2C877801" w14:textId="77777777" w:rsidR="00E5212C" w:rsidRPr="00342E63" w:rsidRDefault="00E5212C" w:rsidP="001C3E43">
      <w:pPr>
        <w:spacing w:after="0" w:line="240" w:lineRule="auto"/>
        <w:rPr>
          <w:sz w:val="24"/>
          <w:szCs w:val="24"/>
        </w:rPr>
      </w:pPr>
      <w:r w:rsidRPr="00E5212C">
        <w:rPr>
          <w:sz w:val="24"/>
          <w:szCs w:val="24"/>
          <w:u w:val="single"/>
        </w:rPr>
        <w:t>Food Preparation</w:t>
      </w:r>
      <w:r w:rsidR="00342E63">
        <w:rPr>
          <w:sz w:val="24"/>
          <w:szCs w:val="24"/>
        </w:rPr>
        <w:t xml:space="preserve"> </w:t>
      </w:r>
    </w:p>
    <w:p w14:paraId="121ADD41" w14:textId="54FBB07E" w:rsidR="008A0CAA" w:rsidRDefault="00E5212C" w:rsidP="008A0CAA">
      <w:pPr>
        <w:spacing w:after="0" w:line="240" w:lineRule="auto"/>
        <w:rPr>
          <w:rFonts w:cstheme="minorHAnsi"/>
          <w:color w:val="000000" w:themeColor="text1"/>
          <w:sz w:val="24"/>
        </w:rPr>
      </w:pPr>
      <w:r>
        <w:rPr>
          <w:sz w:val="24"/>
          <w:szCs w:val="24"/>
        </w:rPr>
        <w:t>We support</w:t>
      </w:r>
      <w:r w:rsidRPr="00E5212C">
        <w:rPr>
          <w:sz w:val="24"/>
          <w:szCs w:val="24"/>
        </w:rPr>
        <w:t xml:space="preserve"> the proposed disallowance of frying as an on-site food preparation technique. We </w:t>
      </w:r>
      <w:r w:rsidR="008A0CAA">
        <w:rPr>
          <w:sz w:val="24"/>
          <w:szCs w:val="24"/>
        </w:rPr>
        <w:t>recommend that USDA establish</w:t>
      </w:r>
      <w:r w:rsidRPr="00E5212C">
        <w:rPr>
          <w:sz w:val="24"/>
          <w:szCs w:val="24"/>
        </w:rPr>
        <w:t xml:space="preserve"> a clear definition of frying in the final rule, as there </w:t>
      </w:r>
      <w:r w:rsidR="008A0CAA">
        <w:rPr>
          <w:sz w:val="24"/>
          <w:szCs w:val="24"/>
        </w:rPr>
        <w:t>could be</w:t>
      </w:r>
      <w:r w:rsidRPr="00E5212C">
        <w:rPr>
          <w:sz w:val="24"/>
          <w:szCs w:val="24"/>
        </w:rPr>
        <w:t xml:space="preserve"> confusion in the field about what constitutes “frying.” </w:t>
      </w:r>
      <w:r w:rsidR="0092208A">
        <w:rPr>
          <w:sz w:val="24"/>
          <w:szCs w:val="24"/>
        </w:rPr>
        <w:t xml:space="preserve"> </w:t>
      </w:r>
      <w:r w:rsidR="0061714D">
        <w:rPr>
          <w:rFonts w:cstheme="minorHAnsi"/>
          <w:color w:val="000000" w:themeColor="text1"/>
          <w:sz w:val="24"/>
        </w:rPr>
        <w:t xml:space="preserve">We suggest the following definition: </w:t>
      </w:r>
    </w:p>
    <w:p w14:paraId="3C6B07A1" w14:textId="77777777" w:rsidR="00556298" w:rsidRDefault="00556298" w:rsidP="008A0CAA">
      <w:pPr>
        <w:spacing w:after="0" w:line="240" w:lineRule="auto"/>
        <w:rPr>
          <w:rFonts w:cstheme="minorHAnsi"/>
          <w:color w:val="000000" w:themeColor="text1"/>
          <w:sz w:val="24"/>
        </w:rPr>
      </w:pPr>
    </w:p>
    <w:p w14:paraId="64139355" w14:textId="21AC9B21" w:rsidR="0061714D" w:rsidRPr="008C33AD" w:rsidRDefault="00556298" w:rsidP="00F5115D">
      <w:pPr>
        <w:spacing w:after="0" w:line="240" w:lineRule="auto"/>
        <w:ind w:firstLine="720"/>
        <w:rPr>
          <w:rFonts w:cstheme="minorHAnsi"/>
          <w:color w:val="000000" w:themeColor="text1"/>
          <w:sz w:val="24"/>
        </w:rPr>
      </w:pPr>
      <w:r>
        <w:rPr>
          <w:rFonts w:cstheme="minorHAnsi"/>
          <w:color w:val="000000" w:themeColor="text1"/>
          <w:sz w:val="24"/>
        </w:rPr>
        <w:t>F</w:t>
      </w:r>
      <w:r w:rsidR="0061714D">
        <w:rPr>
          <w:rFonts w:cstheme="minorHAnsi"/>
          <w:color w:val="000000" w:themeColor="text1"/>
          <w:sz w:val="24"/>
        </w:rPr>
        <w:t>oods that are cooked by</w:t>
      </w:r>
      <w:r w:rsidR="0061714D" w:rsidRPr="0061714D">
        <w:rPr>
          <w:rFonts w:cstheme="minorHAnsi"/>
          <w:color w:val="000000" w:themeColor="text1"/>
          <w:sz w:val="24"/>
        </w:rPr>
        <w:t xml:space="preserve"> immersion in hot oil or other fat</w:t>
      </w:r>
      <w:r w:rsidR="0061714D" w:rsidRPr="008C33AD">
        <w:rPr>
          <w:rFonts w:cstheme="minorHAnsi"/>
          <w:color w:val="000000" w:themeColor="text1"/>
          <w:sz w:val="24"/>
        </w:rPr>
        <w:t xml:space="preserve">.  </w:t>
      </w:r>
    </w:p>
    <w:p w14:paraId="5E07FCF8" w14:textId="77777777" w:rsidR="0061714D" w:rsidRDefault="0061714D" w:rsidP="001C3E43">
      <w:pPr>
        <w:spacing w:after="0" w:line="240" w:lineRule="auto"/>
        <w:rPr>
          <w:sz w:val="24"/>
          <w:szCs w:val="24"/>
        </w:rPr>
      </w:pPr>
    </w:p>
    <w:p w14:paraId="73808ECE" w14:textId="68D24A28" w:rsidR="00E5212C" w:rsidRDefault="00E5212C" w:rsidP="001C3E43">
      <w:pPr>
        <w:spacing w:after="0" w:line="240" w:lineRule="auto"/>
      </w:pPr>
      <w:r w:rsidRPr="00E5212C">
        <w:rPr>
          <w:sz w:val="24"/>
          <w:szCs w:val="24"/>
        </w:rPr>
        <w:t xml:space="preserve">Additionally, </w:t>
      </w:r>
      <w:r w:rsidR="00C162E1">
        <w:rPr>
          <w:sz w:val="24"/>
          <w:szCs w:val="24"/>
        </w:rPr>
        <w:t xml:space="preserve">USDA should </w:t>
      </w:r>
      <w:r w:rsidRPr="00E5212C">
        <w:rPr>
          <w:sz w:val="24"/>
          <w:szCs w:val="24"/>
        </w:rPr>
        <w:t xml:space="preserve">recommend </w:t>
      </w:r>
      <w:r w:rsidR="00C162E1">
        <w:rPr>
          <w:sz w:val="24"/>
          <w:szCs w:val="24"/>
        </w:rPr>
        <w:t>to providers</w:t>
      </w:r>
      <w:r w:rsidR="00C162E1" w:rsidRPr="00E5212C">
        <w:rPr>
          <w:sz w:val="24"/>
          <w:szCs w:val="24"/>
        </w:rPr>
        <w:t xml:space="preserve"> </w:t>
      </w:r>
      <w:r w:rsidRPr="00E5212C">
        <w:rPr>
          <w:sz w:val="24"/>
          <w:szCs w:val="24"/>
        </w:rPr>
        <w:t xml:space="preserve">alternative cooking methods as promoted, healthier techniques. </w:t>
      </w:r>
      <w:r w:rsidR="0092208A">
        <w:rPr>
          <w:sz w:val="24"/>
          <w:szCs w:val="24"/>
        </w:rPr>
        <w:t xml:space="preserve"> </w:t>
      </w:r>
      <w:r w:rsidRPr="00E5212C">
        <w:rPr>
          <w:sz w:val="24"/>
          <w:szCs w:val="24"/>
        </w:rPr>
        <w:t xml:space="preserve">These could include methods which use </w:t>
      </w:r>
      <w:r w:rsidR="0078126E">
        <w:rPr>
          <w:sz w:val="24"/>
          <w:szCs w:val="24"/>
        </w:rPr>
        <w:t xml:space="preserve">limited </w:t>
      </w:r>
      <w:r w:rsidR="00A75B12">
        <w:rPr>
          <w:sz w:val="24"/>
          <w:szCs w:val="24"/>
        </w:rPr>
        <w:t>cooking fats</w:t>
      </w:r>
      <w:r w:rsidR="00342E63">
        <w:rPr>
          <w:sz w:val="24"/>
          <w:szCs w:val="24"/>
        </w:rPr>
        <w:t xml:space="preserve"> </w:t>
      </w:r>
      <w:r w:rsidRPr="00E5212C">
        <w:rPr>
          <w:sz w:val="24"/>
          <w:szCs w:val="24"/>
        </w:rPr>
        <w:t>such as baking, sautéing, broiling, searing, and stir-frying.</w:t>
      </w:r>
      <w:r w:rsidR="00342E63">
        <w:rPr>
          <w:sz w:val="24"/>
          <w:szCs w:val="24"/>
        </w:rPr>
        <w:t xml:space="preserve"> </w:t>
      </w:r>
      <w:r w:rsidR="0092208A">
        <w:rPr>
          <w:sz w:val="24"/>
          <w:szCs w:val="24"/>
        </w:rPr>
        <w:t xml:space="preserve"> </w:t>
      </w:r>
      <w:r w:rsidR="00342E63">
        <w:rPr>
          <w:sz w:val="24"/>
          <w:szCs w:val="24"/>
        </w:rPr>
        <w:t xml:space="preserve">Guidance </w:t>
      </w:r>
      <w:r w:rsidR="00FB6FCD">
        <w:rPr>
          <w:sz w:val="24"/>
          <w:szCs w:val="24"/>
        </w:rPr>
        <w:t>also should</w:t>
      </w:r>
      <w:r w:rsidR="00342E63">
        <w:rPr>
          <w:sz w:val="24"/>
          <w:szCs w:val="24"/>
        </w:rPr>
        <w:t xml:space="preserve"> recommend moving away from cooking with solid fats, high in saturated fat</w:t>
      </w:r>
      <w:r w:rsidR="00FB6FCD">
        <w:rPr>
          <w:sz w:val="24"/>
          <w:szCs w:val="24"/>
        </w:rPr>
        <w:t>,</w:t>
      </w:r>
      <w:r w:rsidR="00342E63">
        <w:rPr>
          <w:sz w:val="24"/>
          <w:szCs w:val="24"/>
        </w:rPr>
        <w:t xml:space="preserve"> and toward healthier vegetable oils</w:t>
      </w:r>
      <w:r w:rsidR="00A65201">
        <w:rPr>
          <w:sz w:val="24"/>
          <w:szCs w:val="24"/>
        </w:rPr>
        <w:t>.</w:t>
      </w:r>
      <w:r w:rsidRPr="00E5212C">
        <w:rPr>
          <w:sz w:val="24"/>
          <w:szCs w:val="24"/>
        </w:rPr>
        <w:t xml:space="preserve"> </w:t>
      </w:r>
      <w:r w:rsidR="0092208A">
        <w:rPr>
          <w:sz w:val="24"/>
          <w:szCs w:val="24"/>
        </w:rPr>
        <w:t xml:space="preserve"> </w:t>
      </w:r>
      <w:r w:rsidRPr="00E5212C">
        <w:rPr>
          <w:sz w:val="24"/>
          <w:szCs w:val="24"/>
        </w:rPr>
        <w:t>We further recommend that fried foods from caterers, restaurants</w:t>
      </w:r>
      <w:r w:rsidR="00A65201">
        <w:rPr>
          <w:sz w:val="24"/>
          <w:szCs w:val="24"/>
        </w:rPr>
        <w:t>,</w:t>
      </w:r>
      <w:r w:rsidRPr="00E5212C">
        <w:rPr>
          <w:sz w:val="24"/>
          <w:szCs w:val="24"/>
        </w:rPr>
        <w:t xml:space="preserve"> or carry-out facilities be disallowed in ECE programs. </w:t>
      </w:r>
      <w:r w:rsidR="0092208A">
        <w:rPr>
          <w:sz w:val="24"/>
          <w:szCs w:val="24"/>
        </w:rPr>
        <w:t xml:space="preserve"> </w:t>
      </w:r>
      <w:r w:rsidRPr="00E5212C">
        <w:rPr>
          <w:sz w:val="24"/>
          <w:szCs w:val="24"/>
        </w:rPr>
        <w:t xml:space="preserve">As currently written, it appears that fried foods would be allowable if brought in from </w:t>
      </w:r>
      <w:r w:rsidR="00A75B12">
        <w:rPr>
          <w:sz w:val="24"/>
          <w:szCs w:val="24"/>
        </w:rPr>
        <w:t xml:space="preserve">an </w:t>
      </w:r>
      <w:r w:rsidRPr="00E5212C">
        <w:rPr>
          <w:sz w:val="24"/>
          <w:szCs w:val="24"/>
        </w:rPr>
        <w:t xml:space="preserve">outside </w:t>
      </w:r>
      <w:r w:rsidR="00A75B12">
        <w:rPr>
          <w:sz w:val="24"/>
          <w:szCs w:val="24"/>
        </w:rPr>
        <w:t>food service provider</w:t>
      </w:r>
      <w:r w:rsidRPr="00E5212C">
        <w:rPr>
          <w:sz w:val="24"/>
          <w:szCs w:val="24"/>
        </w:rPr>
        <w:t>.</w:t>
      </w:r>
      <w:r w:rsidR="00E25E47" w:rsidRPr="00E25E47">
        <w:t xml:space="preserve"> </w:t>
      </w:r>
    </w:p>
    <w:p w14:paraId="2A06AC1F" w14:textId="77777777" w:rsidR="00080191" w:rsidRDefault="00080191" w:rsidP="001C3E43">
      <w:pPr>
        <w:spacing w:after="0" w:line="240" w:lineRule="auto"/>
      </w:pPr>
    </w:p>
    <w:p w14:paraId="0ADC6623" w14:textId="50905EAF" w:rsidR="00556298" w:rsidRDefault="00080191" w:rsidP="00556298">
      <w:pPr>
        <w:spacing w:after="0" w:line="240" w:lineRule="auto"/>
        <w:rPr>
          <w:sz w:val="24"/>
          <w:szCs w:val="24"/>
        </w:rPr>
      </w:pPr>
      <w:r w:rsidRPr="00E25E47">
        <w:rPr>
          <w:sz w:val="24"/>
          <w:szCs w:val="24"/>
        </w:rPr>
        <w:lastRenderedPageBreak/>
        <w:t>We recommend integrating training and technical assistance on the best practice of limiting the service of commercially prepared fried foods to no more than once per week.</w:t>
      </w:r>
      <w:r w:rsidR="00556298">
        <w:rPr>
          <w:sz w:val="24"/>
          <w:szCs w:val="24"/>
        </w:rPr>
        <w:t xml:space="preserve"> </w:t>
      </w:r>
      <w:r w:rsidR="00135BB5">
        <w:rPr>
          <w:sz w:val="24"/>
          <w:szCs w:val="24"/>
        </w:rPr>
        <w:t xml:space="preserve"> </w:t>
      </w:r>
      <w:r w:rsidR="00556298" w:rsidRPr="000336F1">
        <w:rPr>
          <w:sz w:val="24"/>
          <w:szCs w:val="24"/>
        </w:rPr>
        <w:t>State agencies and sponsoring organizations have successfully implemented best practices related to limiting the servi</w:t>
      </w:r>
      <w:r w:rsidR="00556298">
        <w:rPr>
          <w:sz w:val="24"/>
          <w:szCs w:val="24"/>
        </w:rPr>
        <w:t xml:space="preserve">ce of commercially prepared </w:t>
      </w:r>
      <w:r w:rsidR="00556298" w:rsidRPr="000336F1">
        <w:rPr>
          <w:sz w:val="24"/>
          <w:szCs w:val="24"/>
        </w:rPr>
        <w:t>fried foods through:</w:t>
      </w:r>
    </w:p>
    <w:p w14:paraId="2D134CAD" w14:textId="77777777" w:rsidR="00556298" w:rsidRPr="000336F1" w:rsidRDefault="00556298" w:rsidP="00556298">
      <w:pPr>
        <w:spacing w:after="0" w:line="240" w:lineRule="auto"/>
        <w:rPr>
          <w:sz w:val="24"/>
          <w:szCs w:val="24"/>
        </w:rPr>
      </w:pPr>
    </w:p>
    <w:p w14:paraId="4446FC4B" w14:textId="5A926D33" w:rsidR="00556298" w:rsidRPr="00556298" w:rsidRDefault="00556298" w:rsidP="00556298">
      <w:pPr>
        <w:pStyle w:val="ListParagraph"/>
        <w:numPr>
          <w:ilvl w:val="0"/>
          <w:numId w:val="8"/>
        </w:numPr>
        <w:spacing w:after="0" w:line="240" w:lineRule="auto"/>
        <w:rPr>
          <w:sz w:val="24"/>
          <w:szCs w:val="24"/>
        </w:rPr>
      </w:pPr>
      <w:r w:rsidRPr="00556298">
        <w:rPr>
          <w:sz w:val="24"/>
          <w:szCs w:val="24"/>
        </w:rPr>
        <w:t>Providing nutrition education emphasizing the importance of healthy choices and the negative health co</w:t>
      </w:r>
      <w:r w:rsidR="00E135C5">
        <w:rPr>
          <w:sz w:val="24"/>
          <w:szCs w:val="24"/>
        </w:rPr>
        <w:t>nsequences of unhealthy choices.</w:t>
      </w:r>
    </w:p>
    <w:p w14:paraId="7249B032" w14:textId="05E80BE1" w:rsidR="00556298" w:rsidRPr="00556298" w:rsidRDefault="00556298" w:rsidP="00556298">
      <w:pPr>
        <w:pStyle w:val="ListParagraph"/>
        <w:numPr>
          <w:ilvl w:val="0"/>
          <w:numId w:val="8"/>
        </w:numPr>
        <w:spacing w:after="0" w:line="240" w:lineRule="auto"/>
        <w:rPr>
          <w:sz w:val="24"/>
          <w:szCs w:val="24"/>
        </w:rPr>
      </w:pPr>
      <w:r w:rsidRPr="00556298">
        <w:rPr>
          <w:sz w:val="24"/>
          <w:szCs w:val="24"/>
        </w:rPr>
        <w:t>Training on menu planning, healthy product identi</w:t>
      </w:r>
      <w:r w:rsidR="00E135C5">
        <w:rPr>
          <w:sz w:val="24"/>
          <w:szCs w:val="24"/>
        </w:rPr>
        <w:t>fication and smart shopping.</w:t>
      </w:r>
    </w:p>
    <w:p w14:paraId="0FF95E09" w14:textId="3E8D1C47" w:rsidR="00556298" w:rsidRDefault="00556298" w:rsidP="00556298">
      <w:pPr>
        <w:pStyle w:val="ListParagraph"/>
        <w:numPr>
          <w:ilvl w:val="0"/>
          <w:numId w:val="8"/>
        </w:numPr>
        <w:spacing w:after="0" w:line="240" w:lineRule="auto"/>
        <w:rPr>
          <w:sz w:val="24"/>
          <w:szCs w:val="24"/>
        </w:rPr>
      </w:pPr>
      <w:r w:rsidRPr="00556298">
        <w:rPr>
          <w:sz w:val="24"/>
          <w:szCs w:val="24"/>
        </w:rPr>
        <w:t xml:space="preserve">Hosting food preparation and cooking skills development classes locally or regionally and through web-based videos.   </w:t>
      </w:r>
    </w:p>
    <w:p w14:paraId="587165C2" w14:textId="77777777" w:rsidR="00556298" w:rsidRPr="00556298" w:rsidRDefault="00556298" w:rsidP="00556298">
      <w:pPr>
        <w:pStyle w:val="ListParagraph"/>
        <w:spacing w:after="0" w:line="240" w:lineRule="auto"/>
        <w:ind w:left="1080"/>
        <w:rPr>
          <w:sz w:val="24"/>
          <w:szCs w:val="24"/>
        </w:rPr>
      </w:pPr>
    </w:p>
    <w:p w14:paraId="0309F121" w14:textId="0362D181" w:rsidR="00556298" w:rsidRDefault="00556298" w:rsidP="00556298">
      <w:pPr>
        <w:spacing w:after="0" w:line="240" w:lineRule="auto"/>
        <w:rPr>
          <w:sz w:val="24"/>
          <w:szCs w:val="24"/>
        </w:rPr>
      </w:pPr>
      <w:r w:rsidRPr="000336F1">
        <w:rPr>
          <w:sz w:val="24"/>
          <w:szCs w:val="24"/>
        </w:rPr>
        <w:t>This type of education and training should be integrated into the proposed improvement to ban on-site frying.  Program administrators, center</w:t>
      </w:r>
      <w:r w:rsidR="00E135C5">
        <w:rPr>
          <w:sz w:val="24"/>
          <w:szCs w:val="24"/>
        </w:rPr>
        <w:t>s,</w:t>
      </w:r>
      <w:r w:rsidRPr="000336F1">
        <w:rPr>
          <w:sz w:val="24"/>
          <w:szCs w:val="24"/>
        </w:rPr>
        <w:t xml:space="preserve"> and home monitors, as well as providers should receive training.  </w:t>
      </w:r>
      <w:r>
        <w:rPr>
          <w:sz w:val="24"/>
          <w:szCs w:val="24"/>
        </w:rPr>
        <w:t xml:space="preserve">For example, </w:t>
      </w:r>
      <w:r w:rsidRPr="00CE5429">
        <w:rPr>
          <w:sz w:val="24"/>
          <w:szCs w:val="24"/>
        </w:rPr>
        <w:t>the North Carolina, Nu</w:t>
      </w:r>
      <w:r w:rsidR="00E135C5">
        <w:rPr>
          <w:sz w:val="24"/>
          <w:szCs w:val="24"/>
        </w:rPr>
        <w:t>trition Services Branch (CACFP s</w:t>
      </w:r>
      <w:r w:rsidRPr="00CE5429">
        <w:rPr>
          <w:sz w:val="24"/>
          <w:szCs w:val="24"/>
        </w:rPr>
        <w:t>tate agency) implemented a USDA Child Care Wellness Grant funded nutrition education initiative which included training on cooking skills and healthy menu planning. The topic of limiting fried foods including commercially prepa</w:t>
      </w:r>
      <w:r w:rsidR="00E135C5">
        <w:rPr>
          <w:sz w:val="24"/>
          <w:szCs w:val="24"/>
        </w:rPr>
        <w:t>red fried foods</w:t>
      </w:r>
      <w:r>
        <w:rPr>
          <w:sz w:val="24"/>
          <w:szCs w:val="24"/>
        </w:rPr>
        <w:t xml:space="preserve"> also </w:t>
      </w:r>
      <w:r w:rsidR="00E135C5">
        <w:rPr>
          <w:sz w:val="24"/>
          <w:szCs w:val="24"/>
        </w:rPr>
        <w:t xml:space="preserve">was </w:t>
      </w:r>
      <w:r>
        <w:rPr>
          <w:sz w:val="24"/>
          <w:szCs w:val="24"/>
        </w:rPr>
        <w:t>featured in the new education options</w:t>
      </w:r>
      <w:r w:rsidRPr="00CE5429">
        <w:rPr>
          <w:sz w:val="24"/>
          <w:szCs w:val="24"/>
        </w:rPr>
        <w:t xml:space="preserve"> created for the initiative: an online self-study module on childhood obesity prevention, and a 20-hour nutrition and physical activity training for early care and education professionals offered through rural community colleges.</w:t>
      </w:r>
      <w:r w:rsidR="00135BB5">
        <w:rPr>
          <w:rStyle w:val="FootnoteReference"/>
          <w:sz w:val="24"/>
          <w:szCs w:val="24"/>
        </w:rPr>
        <w:footnoteReference w:id="41"/>
      </w:r>
      <w:r>
        <w:rPr>
          <w:sz w:val="24"/>
          <w:szCs w:val="24"/>
        </w:rPr>
        <w:t xml:space="preserve"> </w:t>
      </w:r>
    </w:p>
    <w:p w14:paraId="14E45D9A" w14:textId="7DD5B70D" w:rsidR="00080191" w:rsidRPr="00E5212C" w:rsidRDefault="00080191" w:rsidP="001C3E43">
      <w:pPr>
        <w:spacing w:after="0" w:line="240" w:lineRule="auto"/>
        <w:rPr>
          <w:sz w:val="24"/>
          <w:szCs w:val="24"/>
        </w:rPr>
      </w:pPr>
    </w:p>
    <w:p w14:paraId="2CA9F019" w14:textId="77777777" w:rsidR="0078126E" w:rsidRDefault="0078126E" w:rsidP="001C3E43">
      <w:pPr>
        <w:spacing w:after="0" w:line="240" w:lineRule="auto"/>
        <w:rPr>
          <w:sz w:val="24"/>
          <w:szCs w:val="24"/>
        </w:rPr>
      </w:pPr>
    </w:p>
    <w:p w14:paraId="0E6CC52E" w14:textId="77777777" w:rsidR="00D528D1" w:rsidRDefault="00D528D1" w:rsidP="001C3E43">
      <w:pPr>
        <w:spacing w:after="0" w:line="240" w:lineRule="auto"/>
        <w:rPr>
          <w:b/>
          <w:sz w:val="24"/>
          <w:szCs w:val="24"/>
        </w:rPr>
      </w:pPr>
      <w:r w:rsidRPr="004B194B">
        <w:rPr>
          <w:b/>
          <w:sz w:val="24"/>
          <w:szCs w:val="24"/>
        </w:rPr>
        <w:t>Prohibition on Using Food as a Reward or Punishment</w:t>
      </w:r>
    </w:p>
    <w:p w14:paraId="7DD51DDE" w14:textId="3E54B1B2" w:rsidR="00BD69A6" w:rsidRDefault="00D20A74" w:rsidP="001C3E43">
      <w:pPr>
        <w:spacing w:after="0" w:line="240" w:lineRule="auto"/>
        <w:rPr>
          <w:sz w:val="24"/>
          <w:szCs w:val="24"/>
        </w:rPr>
      </w:pPr>
      <w:r>
        <w:rPr>
          <w:sz w:val="24"/>
          <w:szCs w:val="24"/>
        </w:rPr>
        <w:t>We s</w:t>
      </w:r>
      <w:r w:rsidR="002672E1">
        <w:rPr>
          <w:sz w:val="24"/>
          <w:szCs w:val="24"/>
        </w:rPr>
        <w:t xml:space="preserve">upport USDA in prohibiting the use of food as a punishment or reward. </w:t>
      </w:r>
      <w:r w:rsidR="0092208A">
        <w:rPr>
          <w:sz w:val="24"/>
          <w:szCs w:val="24"/>
        </w:rPr>
        <w:t xml:space="preserve"> </w:t>
      </w:r>
      <w:r w:rsidR="00BD69A6">
        <w:rPr>
          <w:sz w:val="24"/>
          <w:szCs w:val="24"/>
        </w:rPr>
        <w:t xml:space="preserve">Many child care resources recommend not using food as a punishment or reward in the child care </w:t>
      </w:r>
      <w:proofErr w:type="gramStart"/>
      <w:r w:rsidR="00BD69A6">
        <w:rPr>
          <w:sz w:val="24"/>
          <w:szCs w:val="24"/>
        </w:rPr>
        <w:t>setting.</w:t>
      </w:r>
      <w:r w:rsidR="00BD69A6">
        <w:rPr>
          <w:rStyle w:val="FootnoteReference"/>
          <w:sz w:val="24"/>
          <w:szCs w:val="24"/>
        </w:rPr>
        <w:footnoteReference w:id="42"/>
      </w:r>
      <w:r w:rsidR="00BD69A6">
        <w:rPr>
          <w:sz w:val="24"/>
          <w:szCs w:val="24"/>
          <w:vertAlign w:val="superscript"/>
        </w:rPr>
        <w:t>,</w:t>
      </w:r>
      <w:r w:rsidR="00BD69A6">
        <w:rPr>
          <w:rStyle w:val="FootnoteReference"/>
          <w:sz w:val="24"/>
          <w:szCs w:val="24"/>
        </w:rPr>
        <w:footnoteReference w:id="43"/>
      </w:r>
      <w:r w:rsidR="00BD69A6">
        <w:rPr>
          <w:sz w:val="24"/>
          <w:szCs w:val="24"/>
          <w:vertAlign w:val="superscript"/>
        </w:rPr>
        <w:t>,</w:t>
      </w:r>
      <w:proofErr w:type="gramEnd"/>
      <w:r w:rsidR="00BD69A6">
        <w:rPr>
          <w:rStyle w:val="FootnoteReference"/>
          <w:sz w:val="24"/>
          <w:szCs w:val="24"/>
        </w:rPr>
        <w:footnoteReference w:id="44"/>
      </w:r>
      <w:r w:rsidR="00BD69A6">
        <w:rPr>
          <w:sz w:val="24"/>
          <w:szCs w:val="24"/>
        </w:rPr>
        <w:t xml:space="preserve"> </w:t>
      </w:r>
      <w:r w:rsidR="0092208A">
        <w:rPr>
          <w:sz w:val="24"/>
          <w:szCs w:val="24"/>
        </w:rPr>
        <w:t xml:space="preserve"> </w:t>
      </w:r>
      <w:r>
        <w:rPr>
          <w:sz w:val="24"/>
          <w:szCs w:val="24"/>
        </w:rPr>
        <w:t>A wide variety of alternative rewards can be used to provide positive reinforcement for children’s behavior</w:t>
      </w:r>
      <w:r w:rsidR="00BD69A6">
        <w:rPr>
          <w:sz w:val="24"/>
          <w:szCs w:val="24"/>
        </w:rPr>
        <w:t xml:space="preserve">, </w:t>
      </w:r>
      <w:r w:rsidR="00800F7F">
        <w:rPr>
          <w:sz w:val="24"/>
          <w:szCs w:val="24"/>
        </w:rPr>
        <w:t xml:space="preserve">including </w:t>
      </w:r>
      <w:r w:rsidR="00BD69A6">
        <w:rPr>
          <w:sz w:val="24"/>
          <w:szCs w:val="24"/>
        </w:rPr>
        <w:t>praise or encouragement, stickers, extra physical activity time, etc</w:t>
      </w:r>
      <w:r>
        <w:rPr>
          <w:sz w:val="24"/>
          <w:szCs w:val="24"/>
        </w:rPr>
        <w:t>. Provid</w:t>
      </w:r>
      <w:r w:rsidR="00FB6FCD">
        <w:rPr>
          <w:sz w:val="24"/>
          <w:szCs w:val="24"/>
        </w:rPr>
        <w:t>ing food based on performance or</w:t>
      </w:r>
      <w:r>
        <w:rPr>
          <w:sz w:val="24"/>
          <w:szCs w:val="24"/>
        </w:rPr>
        <w:t xml:space="preserve"> behavior links food to mood. </w:t>
      </w:r>
      <w:r w:rsidR="0092208A">
        <w:rPr>
          <w:sz w:val="24"/>
          <w:szCs w:val="24"/>
        </w:rPr>
        <w:t xml:space="preserve"> </w:t>
      </w:r>
      <w:r>
        <w:rPr>
          <w:sz w:val="24"/>
          <w:szCs w:val="24"/>
        </w:rPr>
        <w:t>This practice can encourage children to eat treats even when they a</w:t>
      </w:r>
      <w:r w:rsidR="00881215">
        <w:rPr>
          <w:sz w:val="24"/>
          <w:szCs w:val="24"/>
        </w:rPr>
        <w:t xml:space="preserve">re not hungry and can instill </w:t>
      </w:r>
      <w:r>
        <w:rPr>
          <w:sz w:val="24"/>
          <w:szCs w:val="24"/>
        </w:rPr>
        <w:t xml:space="preserve">lifetime </w:t>
      </w:r>
      <w:r w:rsidR="00881215">
        <w:rPr>
          <w:sz w:val="24"/>
          <w:szCs w:val="24"/>
        </w:rPr>
        <w:t>habits of rewarding or comforting themselves with food behaviors associated with unhealthy eating o</w:t>
      </w:r>
      <w:r w:rsidR="00BD69A6">
        <w:rPr>
          <w:sz w:val="24"/>
          <w:szCs w:val="24"/>
        </w:rPr>
        <w:t xml:space="preserve">r obesity. </w:t>
      </w:r>
    </w:p>
    <w:p w14:paraId="73E7DBA2" w14:textId="77777777" w:rsidR="00BD69A6" w:rsidRDefault="00BD69A6" w:rsidP="001C3E43">
      <w:pPr>
        <w:spacing w:after="0" w:line="240" w:lineRule="auto"/>
        <w:rPr>
          <w:sz w:val="24"/>
          <w:szCs w:val="24"/>
        </w:rPr>
      </w:pPr>
    </w:p>
    <w:p w14:paraId="20E1DE26" w14:textId="6673D5F1" w:rsidR="008B2117" w:rsidRDefault="00881215" w:rsidP="001C3E43">
      <w:pPr>
        <w:spacing w:after="0" w:line="240" w:lineRule="auto"/>
        <w:rPr>
          <w:sz w:val="24"/>
          <w:szCs w:val="24"/>
        </w:rPr>
      </w:pPr>
      <w:r>
        <w:rPr>
          <w:sz w:val="24"/>
          <w:szCs w:val="24"/>
        </w:rPr>
        <w:t xml:space="preserve">The prohibition of using food as a punishment should extend to physical activity as well. </w:t>
      </w:r>
      <w:r w:rsidR="0092208A">
        <w:rPr>
          <w:sz w:val="24"/>
          <w:szCs w:val="24"/>
        </w:rPr>
        <w:t xml:space="preserve"> </w:t>
      </w:r>
      <w:r w:rsidR="00BD69A6">
        <w:rPr>
          <w:sz w:val="24"/>
          <w:szCs w:val="24"/>
        </w:rPr>
        <w:t xml:space="preserve">Given the high rates of obesity and chronic diseases among Americans, we should not take away </w:t>
      </w:r>
      <w:r w:rsidR="00BD69A6">
        <w:rPr>
          <w:sz w:val="24"/>
          <w:szCs w:val="24"/>
        </w:rPr>
        <w:lastRenderedPageBreak/>
        <w:t>children’s opportunities to be physically active.</w:t>
      </w:r>
      <w:r w:rsidR="00800F7F">
        <w:rPr>
          <w:sz w:val="24"/>
          <w:szCs w:val="24"/>
        </w:rPr>
        <w:t xml:space="preserve">  There are many more constructive ways to correct children’s behavior.</w:t>
      </w:r>
      <w:r w:rsidR="00F5115D">
        <w:rPr>
          <w:rStyle w:val="FootnoteReference"/>
          <w:sz w:val="24"/>
          <w:szCs w:val="24"/>
        </w:rPr>
        <w:footnoteReference w:id="45"/>
      </w:r>
      <w:r w:rsidR="00800F7F">
        <w:rPr>
          <w:sz w:val="24"/>
          <w:szCs w:val="24"/>
        </w:rPr>
        <w:t xml:space="preserve">  </w:t>
      </w:r>
    </w:p>
    <w:p w14:paraId="14141ADE" w14:textId="77777777" w:rsidR="00881215" w:rsidRPr="004B194B" w:rsidRDefault="00881215" w:rsidP="001C3E43">
      <w:pPr>
        <w:spacing w:after="0" w:line="240" w:lineRule="auto"/>
        <w:rPr>
          <w:b/>
          <w:sz w:val="24"/>
          <w:szCs w:val="24"/>
        </w:rPr>
      </w:pPr>
    </w:p>
    <w:p w14:paraId="62577FED" w14:textId="77777777" w:rsidR="00D528D1" w:rsidRPr="004B194B" w:rsidRDefault="00D528D1" w:rsidP="001C3E43">
      <w:pPr>
        <w:spacing w:after="0" w:line="240" w:lineRule="auto"/>
        <w:rPr>
          <w:b/>
          <w:sz w:val="24"/>
          <w:szCs w:val="24"/>
        </w:rPr>
      </w:pPr>
      <w:r w:rsidRPr="004B194B">
        <w:rPr>
          <w:b/>
          <w:sz w:val="24"/>
          <w:szCs w:val="24"/>
        </w:rPr>
        <w:t>Promoting Health and Wellness</w:t>
      </w:r>
    </w:p>
    <w:p w14:paraId="51D399AA" w14:textId="77777777" w:rsidR="008B2117" w:rsidRDefault="008B2117" w:rsidP="001C3E43">
      <w:pPr>
        <w:spacing w:after="0" w:line="240" w:lineRule="auto"/>
        <w:rPr>
          <w:b/>
          <w:i/>
          <w:sz w:val="24"/>
          <w:szCs w:val="24"/>
        </w:rPr>
      </w:pPr>
    </w:p>
    <w:p w14:paraId="3DBADE2F" w14:textId="77777777" w:rsidR="008B2117" w:rsidRDefault="008B2117" w:rsidP="001C3E43">
      <w:pPr>
        <w:spacing w:after="0" w:line="240" w:lineRule="auto"/>
        <w:rPr>
          <w:sz w:val="24"/>
          <w:szCs w:val="24"/>
          <w:u w:val="single"/>
        </w:rPr>
      </w:pPr>
      <w:r>
        <w:rPr>
          <w:sz w:val="24"/>
          <w:szCs w:val="24"/>
          <w:u w:val="single"/>
        </w:rPr>
        <w:t>Physical Activity</w:t>
      </w:r>
    </w:p>
    <w:p w14:paraId="57CCD264" w14:textId="3D1C3861" w:rsidR="008B2117" w:rsidRDefault="003B600E" w:rsidP="001C3E43">
      <w:pPr>
        <w:spacing w:after="0" w:line="240" w:lineRule="auto"/>
        <w:rPr>
          <w:b/>
          <w:bCs/>
          <w:sz w:val="24"/>
          <w:szCs w:val="24"/>
        </w:rPr>
      </w:pPr>
      <w:r w:rsidRPr="003B600E">
        <w:rPr>
          <w:sz w:val="24"/>
          <w:szCs w:val="24"/>
        </w:rPr>
        <w:t>We applaud USDA for encouraging centers and family day care homes to provide daily opportunities for structured and unstructured age</w:t>
      </w:r>
      <w:r w:rsidR="00800F7F">
        <w:rPr>
          <w:sz w:val="24"/>
          <w:szCs w:val="24"/>
        </w:rPr>
        <w:t>-</w:t>
      </w:r>
      <w:r w:rsidRPr="003B600E">
        <w:rPr>
          <w:sz w:val="24"/>
          <w:szCs w:val="24"/>
        </w:rPr>
        <w:t>appropriate physical activity. Physical activity produces overall physical, psychological</w:t>
      </w:r>
      <w:r w:rsidR="00800F7F">
        <w:rPr>
          <w:sz w:val="24"/>
          <w:szCs w:val="24"/>
        </w:rPr>
        <w:t>,</w:t>
      </w:r>
      <w:r w:rsidRPr="003B600E">
        <w:rPr>
          <w:sz w:val="24"/>
          <w:szCs w:val="24"/>
        </w:rPr>
        <w:t xml:space="preserve"> and social benefits</w:t>
      </w:r>
      <w:r>
        <w:rPr>
          <w:sz w:val="24"/>
          <w:szCs w:val="24"/>
        </w:rPr>
        <w:t>, and should be seen as a</w:t>
      </w:r>
      <w:r w:rsidRPr="003B600E">
        <w:rPr>
          <w:sz w:val="24"/>
          <w:szCs w:val="24"/>
        </w:rPr>
        <w:t xml:space="preserve"> critical component of child care programs. </w:t>
      </w:r>
      <w:r w:rsidRPr="003B600E">
        <w:rPr>
          <w:bCs/>
          <w:sz w:val="24"/>
          <w:szCs w:val="24"/>
        </w:rPr>
        <w:t xml:space="preserve">To </w:t>
      </w:r>
      <w:r w:rsidR="00800F7F">
        <w:rPr>
          <w:bCs/>
          <w:sz w:val="24"/>
          <w:szCs w:val="24"/>
        </w:rPr>
        <w:t>better support</w:t>
      </w:r>
      <w:r w:rsidRPr="003B600E">
        <w:rPr>
          <w:bCs/>
          <w:sz w:val="24"/>
          <w:szCs w:val="24"/>
        </w:rPr>
        <w:t xml:space="preserve"> quality physical activity</w:t>
      </w:r>
      <w:r w:rsidR="00800F7F">
        <w:rPr>
          <w:bCs/>
          <w:sz w:val="24"/>
          <w:szCs w:val="24"/>
        </w:rPr>
        <w:t xml:space="preserve"> in child care settings</w:t>
      </w:r>
      <w:r w:rsidRPr="003B600E">
        <w:rPr>
          <w:bCs/>
          <w:sz w:val="24"/>
          <w:szCs w:val="24"/>
        </w:rPr>
        <w:t xml:space="preserve">, we suggest the following guidelines be included within the </w:t>
      </w:r>
      <w:r w:rsidR="00A2536F">
        <w:rPr>
          <w:bCs/>
          <w:sz w:val="24"/>
          <w:szCs w:val="24"/>
        </w:rPr>
        <w:t xml:space="preserve">model wellness policies, as best practices, and in </w:t>
      </w:r>
      <w:r w:rsidRPr="003B600E">
        <w:rPr>
          <w:bCs/>
          <w:sz w:val="24"/>
          <w:szCs w:val="24"/>
        </w:rPr>
        <w:t>technical assistance and training that is made available to providers:</w:t>
      </w:r>
    </w:p>
    <w:p w14:paraId="47E02489" w14:textId="77777777" w:rsidR="003B600E" w:rsidRPr="003B600E" w:rsidRDefault="003B600E" w:rsidP="001C3E43">
      <w:pPr>
        <w:spacing w:after="0" w:line="240" w:lineRule="auto"/>
        <w:rPr>
          <w:b/>
          <w:bCs/>
          <w:sz w:val="24"/>
          <w:szCs w:val="24"/>
        </w:rPr>
      </w:pPr>
    </w:p>
    <w:p w14:paraId="67B03286" w14:textId="0F5BD434" w:rsidR="008B2117" w:rsidRPr="008B2117" w:rsidRDefault="008B2117" w:rsidP="001C3E43">
      <w:pPr>
        <w:pStyle w:val="ListParagraph"/>
        <w:numPr>
          <w:ilvl w:val="0"/>
          <w:numId w:val="2"/>
        </w:numPr>
        <w:spacing w:after="0" w:line="240" w:lineRule="auto"/>
        <w:rPr>
          <w:sz w:val="24"/>
          <w:szCs w:val="24"/>
        </w:rPr>
      </w:pPr>
      <w:r w:rsidRPr="008B2117">
        <w:rPr>
          <w:sz w:val="24"/>
          <w:szCs w:val="24"/>
        </w:rPr>
        <w:t>Provid</w:t>
      </w:r>
      <w:r w:rsidR="00800F7F">
        <w:rPr>
          <w:sz w:val="24"/>
          <w:szCs w:val="24"/>
        </w:rPr>
        <w:t>e</w:t>
      </w:r>
      <w:r w:rsidRPr="008B2117">
        <w:rPr>
          <w:sz w:val="24"/>
          <w:szCs w:val="24"/>
        </w:rPr>
        <w:t xml:space="preserve"> children with opportunities for moderate and vigorous physical activity for at least 60 minutes per day during a full-day program or 30 minutes per day for a half-day morning or afternoon program.</w:t>
      </w:r>
    </w:p>
    <w:p w14:paraId="6D8F239B" w14:textId="50E889DC" w:rsidR="008B2117" w:rsidRPr="008B2117" w:rsidRDefault="008B2117" w:rsidP="001C3E43">
      <w:pPr>
        <w:pStyle w:val="ListParagraph"/>
        <w:numPr>
          <w:ilvl w:val="0"/>
          <w:numId w:val="2"/>
        </w:numPr>
        <w:spacing w:after="0" w:line="240" w:lineRule="auto"/>
        <w:rPr>
          <w:sz w:val="24"/>
          <w:szCs w:val="24"/>
        </w:rPr>
      </w:pPr>
      <w:r w:rsidRPr="008B2117">
        <w:rPr>
          <w:sz w:val="24"/>
          <w:szCs w:val="24"/>
        </w:rPr>
        <w:t>Include a mix of moderate and vigorous activity (activity that increases the heart rate and breathing rate), as well as bone and muscle strengthening activities.</w:t>
      </w:r>
    </w:p>
    <w:p w14:paraId="2755E4DA" w14:textId="03FD94E4" w:rsidR="008B2117" w:rsidRPr="008B2117" w:rsidRDefault="00400610" w:rsidP="001C3E43">
      <w:pPr>
        <w:pStyle w:val="ListParagraph"/>
        <w:numPr>
          <w:ilvl w:val="0"/>
          <w:numId w:val="2"/>
        </w:numPr>
        <w:spacing w:after="0" w:line="240" w:lineRule="auto"/>
        <w:rPr>
          <w:sz w:val="24"/>
          <w:szCs w:val="24"/>
        </w:rPr>
      </w:pPr>
      <w:r>
        <w:rPr>
          <w:sz w:val="24"/>
          <w:szCs w:val="24"/>
        </w:rPr>
        <w:t>A</w:t>
      </w:r>
      <w:r w:rsidR="008B2117" w:rsidRPr="008B2117">
        <w:rPr>
          <w:sz w:val="24"/>
          <w:szCs w:val="24"/>
        </w:rPr>
        <w:t>ctive play should take place outdoors when possible.</w:t>
      </w:r>
    </w:p>
    <w:p w14:paraId="25393645" w14:textId="12E8CB90" w:rsidR="008B2117" w:rsidRDefault="008B2117" w:rsidP="001C3E43">
      <w:pPr>
        <w:pStyle w:val="ListParagraph"/>
        <w:numPr>
          <w:ilvl w:val="0"/>
          <w:numId w:val="2"/>
        </w:numPr>
        <w:spacing w:after="0" w:line="240" w:lineRule="auto"/>
        <w:rPr>
          <w:sz w:val="24"/>
          <w:szCs w:val="24"/>
        </w:rPr>
      </w:pPr>
      <w:r w:rsidRPr="008B2117">
        <w:rPr>
          <w:sz w:val="24"/>
          <w:szCs w:val="24"/>
        </w:rPr>
        <w:t>Staff should model active living by participating in physical activities with children</w:t>
      </w:r>
      <w:r w:rsidR="0050617F">
        <w:rPr>
          <w:sz w:val="24"/>
          <w:szCs w:val="24"/>
        </w:rPr>
        <w:t xml:space="preserve"> </w:t>
      </w:r>
      <w:r w:rsidR="0050617F" w:rsidRPr="0050617F">
        <w:rPr>
          <w:sz w:val="24"/>
          <w:szCs w:val="24"/>
        </w:rPr>
        <w:t>provided that program supervision is not compromise</w:t>
      </w:r>
      <w:r w:rsidR="0050617F">
        <w:rPr>
          <w:sz w:val="24"/>
          <w:szCs w:val="24"/>
        </w:rPr>
        <w:t>d</w:t>
      </w:r>
      <w:r w:rsidRPr="008B2117">
        <w:rPr>
          <w:sz w:val="24"/>
          <w:szCs w:val="24"/>
        </w:rPr>
        <w:t>.</w:t>
      </w:r>
    </w:p>
    <w:p w14:paraId="1EE3BBF3" w14:textId="77777777" w:rsidR="008B2117" w:rsidRPr="008B2117" w:rsidRDefault="008B2117" w:rsidP="001C3E43">
      <w:pPr>
        <w:pStyle w:val="ListParagraph"/>
        <w:spacing w:after="0" w:line="240" w:lineRule="auto"/>
        <w:rPr>
          <w:sz w:val="24"/>
          <w:szCs w:val="24"/>
        </w:rPr>
      </w:pPr>
    </w:p>
    <w:p w14:paraId="21AE2CAD" w14:textId="3245ABBF" w:rsidR="008B2117" w:rsidRPr="008B2117" w:rsidRDefault="008B2117" w:rsidP="001C3E43">
      <w:pPr>
        <w:spacing w:after="0" w:line="240" w:lineRule="auto"/>
        <w:rPr>
          <w:sz w:val="24"/>
          <w:szCs w:val="24"/>
        </w:rPr>
      </w:pPr>
      <w:r w:rsidRPr="008B2117">
        <w:rPr>
          <w:sz w:val="24"/>
          <w:szCs w:val="24"/>
        </w:rPr>
        <w:t xml:space="preserve">These components can be found in the evidence-based National </w:t>
      </w:r>
      <w:proofErr w:type="spellStart"/>
      <w:r w:rsidRPr="008B2117">
        <w:rPr>
          <w:sz w:val="24"/>
          <w:szCs w:val="24"/>
        </w:rPr>
        <w:t>AfterSchool</w:t>
      </w:r>
      <w:proofErr w:type="spellEnd"/>
      <w:r w:rsidRPr="008B2117">
        <w:rPr>
          <w:sz w:val="24"/>
          <w:szCs w:val="24"/>
        </w:rPr>
        <w:t xml:space="preserve"> Association Healthy Eating and Physical Activity Standards (NAA HEPA Standards).</w:t>
      </w:r>
      <w:r>
        <w:rPr>
          <w:rStyle w:val="FootnoteReference"/>
          <w:sz w:val="24"/>
          <w:szCs w:val="24"/>
        </w:rPr>
        <w:footnoteReference w:id="46"/>
      </w:r>
      <w:r w:rsidRPr="008B2117">
        <w:rPr>
          <w:sz w:val="24"/>
          <w:szCs w:val="24"/>
        </w:rPr>
        <w:t xml:space="preserve"> </w:t>
      </w:r>
      <w:r w:rsidR="0092208A">
        <w:rPr>
          <w:sz w:val="24"/>
          <w:szCs w:val="24"/>
        </w:rPr>
        <w:t xml:space="preserve"> </w:t>
      </w:r>
      <w:r w:rsidRPr="008B2117">
        <w:rPr>
          <w:sz w:val="24"/>
          <w:szCs w:val="24"/>
        </w:rPr>
        <w:t xml:space="preserve">These comprehensive standards have been adopted by </w:t>
      </w:r>
      <w:r w:rsidR="00A51246">
        <w:rPr>
          <w:sz w:val="24"/>
          <w:szCs w:val="24"/>
        </w:rPr>
        <w:t>a number of</w:t>
      </w:r>
      <w:r w:rsidR="00A51246" w:rsidRPr="008B2117">
        <w:rPr>
          <w:sz w:val="24"/>
          <w:szCs w:val="24"/>
        </w:rPr>
        <w:t xml:space="preserve"> </w:t>
      </w:r>
      <w:r w:rsidRPr="008B2117">
        <w:rPr>
          <w:sz w:val="24"/>
          <w:szCs w:val="24"/>
        </w:rPr>
        <w:t>youth serving organizations such as the YMCA, National Recreation and Park Association</w:t>
      </w:r>
      <w:r>
        <w:rPr>
          <w:sz w:val="24"/>
          <w:szCs w:val="24"/>
        </w:rPr>
        <w:t>,</w:t>
      </w:r>
      <w:r w:rsidRPr="008B2117">
        <w:rPr>
          <w:sz w:val="24"/>
          <w:szCs w:val="24"/>
        </w:rPr>
        <w:t xml:space="preserve"> and the Boys &amp; Girls Clubs of America.</w:t>
      </w:r>
    </w:p>
    <w:p w14:paraId="31F4A2B2" w14:textId="77777777" w:rsidR="008B2117" w:rsidRPr="00D05422" w:rsidRDefault="008B2117" w:rsidP="001C3E43">
      <w:pPr>
        <w:spacing w:after="0" w:line="240" w:lineRule="auto"/>
        <w:rPr>
          <w:b/>
          <w:i/>
          <w:sz w:val="24"/>
          <w:szCs w:val="24"/>
        </w:rPr>
      </w:pPr>
    </w:p>
    <w:p w14:paraId="111242D6" w14:textId="5F4D0473" w:rsidR="00D528D1" w:rsidRPr="00A65201" w:rsidRDefault="008B2117" w:rsidP="001C3E43">
      <w:pPr>
        <w:spacing w:after="0" w:line="240" w:lineRule="auto"/>
        <w:rPr>
          <w:sz w:val="24"/>
          <w:szCs w:val="24"/>
        </w:rPr>
      </w:pPr>
      <w:r w:rsidRPr="008B2117">
        <w:rPr>
          <w:sz w:val="24"/>
          <w:szCs w:val="24"/>
          <w:u w:val="single"/>
        </w:rPr>
        <w:t>Sugar-Sweetened Beverages</w:t>
      </w:r>
      <w:r w:rsidR="00A65201">
        <w:rPr>
          <w:sz w:val="24"/>
          <w:szCs w:val="24"/>
        </w:rPr>
        <w:t xml:space="preserve"> </w:t>
      </w:r>
    </w:p>
    <w:p w14:paraId="007334C0" w14:textId="2AEBDCAF" w:rsidR="00B45842" w:rsidRDefault="00774960" w:rsidP="00B45842">
      <w:pPr>
        <w:spacing w:after="0" w:line="240" w:lineRule="auto"/>
        <w:rPr>
          <w:rFonts w:cs="Times New Roman"/>
          <w:color w:val="000000"/>
          <w:sz w:val="24"/>
          <w:szCs w:val="24"/>
        </w:rPr>
      </w:pPr>
      <w:r>
        <w:rPr>
          <w:rFonts w:cs="Times New Roman"/>
          <w:color w:val="000000"/>
          <w:sz w:val="24"/>
          <w:szCs w:val="24"/>
        </w:rPr>
        <w:t>We strongly urge</w:t>
      </w:r>
      <w:r w:rsidR="003B18FB">
        <w:rPr>
          <w:rFonts w:cs="Times New Roman"/>
          <w:color w:val="000000"/>
          <w:sz w:val="24"/>
          <w:szCs w:val="24"/>
        </w:rPr>
        <w:t xml:space="preserve"> USDA to </w:t>
      </w:r>
      <w:r w:rsidR="00B45842">
        <w:rPr>
          <w:rFonts w:cs="Times New Roman"/>
          <w:color w:val="000000"/>
          <w:sz w:val="24"/>
          <w:szCs w:val="24"/>
        </w:rPr>
        <w:t xml:space="preserve">require that ECE providers </w:t>
      </w:r>
      <w:r w:rsidR="00705479">
        <w:rPr>
          <w:rFonts w:cs="Times New Roman"/>
          <w:color w:val="000000"/>
          <w:sz w:val="24"/>
          <w:szCs w:val="24"/>
        </w:rPr>
        <w:t>not serve</w:t>
      </w:r>
      <w:r w:rsidR="003B18FB">
        <w:rPr>
          <w:rFonts w:cs="Times New Roman"/>
          <w:color w:val="000000"/>
          <w:sz w:val="24"/>
          <w:szCs w:val="24"/>
        </w:rPr>
        <w:t xml:space="preserve"> </w:t>
      </w:r>
      <w:r w:rsidR="00705479">
        <w:rPr>
          <w:rFonts w:cs="Times New Roman"/>
          <w:color w:val="000000"/>
          <w:sz w:val="24"/>
          <w:szCs w:val="24"/>
        </w:rPr>
        <w:t xml:space="preserve">or make available </w:t>
      </w:r>
      <w:r w:rsidR="003B18FB">
        <w:rPr>
          <w:rFonts w:cs="Times New Roman"/>
          <w:color w:val="000000"/>
          <w:sz w:val="24"/>
          <w:szCs w:val="24"/>
        </w:rPr>
        <w:t xml:space="preserve">sugar-sweetened beverages </w:t>
      </w:r>
      <w:r w:rsidR="00705479">
        <w:rPr>
          <w:rFonts w:cs="Times New Roman"/>
          <w:color w:val="000000"/>
          <w:sz w:val="24"/>
          <w:szCs w:val="24"/>
        </w:rPr>
        <w:t>in</w:t>
      </w:r>
      <w:r w:rsidR="003B18FB">
        <w:rPr>
          <w:rFonts w:cs="Times New Roman"/>
          <w:color w:val="000000"/>
          <w:sz w:val="24"/>
          <w:szCs w:val="24"/>
        </w:rPr>
        <w:t xml:space="preserve"> child care facilities</w:t>
      </w:r>
      <w:r w:rsidR="00642A64">
        <w:rPr>
          <w:rFonts w:cs="Times New Roman"/>
          <w:color w:val="000000"/>
          <w:sz w:val="24"/>
          <w:szCs w:val="24"/>
        </w:rPr>
        <w:t>, similar to how it requires that drinking water be made available all day long</w:t>
      </w:r>
      <w:r w:rsidR="003B18FB">
        <w:rPr>
          <w:rFonts w:cs="Times New Roman"/>
          <w:color w:val="000000"/>
          <w:sz w:val="24"/>
          <w:szCs w:val="24"/>
        </w:rPr>
        <w:t>.</w:t>
      </w:r>
      <w:r w:rsidR="00642A64">
        <w:rPr>
          <w:rStyle w:val="FootnoteReference"/>
          <w:rFonts w:cs="Times New Roman"/>
          <w:color w:val="000000"/>
          <w:sz w:val="24"/>
          <w:szCs w:val="24"/>
        </w:rPr>
        <w:footnoteReference w:id="47"/>
      </w:r>
      <w:r w:rsidR="003B18FB">
        <w:rPr>
          <w:rFonts w:cs="Times New Roman"/>
          <w:color w:val="000000"/>
          <w:sz w:val="24"/>
          <w:szCs w:val="24"/>
        </w:rPr>
        <w:t xml:space="preserve"> </w:t>
      </w:r>
      <w:r w:rsidR="00A26096">
        <w:rPr>
          <w:rFonts w:cs="Times New Roman"/>
          <w:color w:val="000000"/>
          <w:sz w:val="24"/>
          <w:szCs w:val="24"/>
        </w:rPr>
        <w:t>This should also apply to beverages brought in by parents.</w:t>
      </w:r>
      <w:r w:rsidR="003B18FB">
        <w:rPr>
          <w:rFonts w:cs="Times New Roman"/>
          <w:color w:val="000000"/>
          <w:sz w:val="24"/>
          <w:szCs w:val="24"/>
        </w:rPr>
        <w:t xml:space="preserve"> </w:t>
      </w:r>
      <w:r w:rsidR="00B45842">
        <w:rPr>
          <w:rFonts w:cs="Times New Roman"/>
          <w:color w:val="000000"/>
          <w:sz w:val="24"/>
          <w:szCs w:val="24"/>
        </w:rPr>
        <w:t>USDA should include information on eliminating sugar-sweetened beverages from child care facilities in training and technical assistance materials.</w:t>
      </w:r>
    </w:p>
    <w:p w14:paraId="05B81192" w14:textId="1ABEF5E4" w:rsidR="00484F40" w:rsidRPr="00267CB9" w:rsidRDefault="00A26096" w:rsidP="00B45842">
      <w:pPr>
        <w:spacing w:after="0" w:line="240" w:lineRule="auto"/>
        <w:rPr>
          <w:rFonts w:cs="Times New Roman"/>
          <w:color w:val="000000"/>
          <w:sz w:val="24"/>
          <w:szCs w:val="24"/>
          <w:vertAlign w:val="superscript"/>
        </w:rPr>
      </w:pPr>
      <w:r>
        <w:rPr>
          <w:rFonts w:cs="Times New Roman"/>
          <w:color w:val="000000"/>
          <w:sz w:val="24"/>
          <w:szCs w:val="24"/>
          <w:vertAlign w:val="superscript"/>
        </w:rPr>
        <w:t xml:space="preserve"> </w:t>
      </w:r>
    </w:p>
    <w:p w14:paraId="45BEDB75" w14:textId="13157375" w:rsidR="000D56DF" w:rsidRDefault="00774960" w:rsidP="001C3E43">
      <w:pPr>
        <w:spacing w:after="0" w:line="240" w:lineRule="auto"/>
        <w:rPr>
          <w:rFonts w:cs="Times New Roman"/>
          <w:color w:val="000000"/>
          <w:sz w:val="24"/>
          <w:szCs w:val="24"/>
        </w:rPr>
      </w:pPr>
      <w:r>
        <w:rPr>
          <w:rFonts w:cs="Times New Roman"/>
          <w:color w:val="000000"/>
          <w:sz w:val="24"/>
          <w:szCs w:val="24"/>
        </w:rPr>
        <w:t xml:space="preserve">In addition to promoting health and wellness </w:t>
      </w:r>
      <w:r w:rsidR="00B45842">
        <w:rPr>
          <w:rFonts w:cs="Times New Roman"/>
          <w:color w:val="000000"/>
          <w:sz w:val="24"/>
          <w:szCs w:val="24"/>
        </w:rPr>
        <w:t>through</w:t>
      </w:r>
      <w:r>
        <w:rPr>
          <w:rFonts w:cs="Times New Roman"/>
          <w:color w:val="000000"/>
          <w:sz w:val="24"/>
          <w:szCs w:val="24"/>
        </w:rPr>
        <w:t xml:space="preserve"> physical activity, </w:t>
      </w:r>
      <w:r w:rsidR="00B45842">
        <w:rPr>
          <w:rFonts w:cs="Times New Roman"/>
          <w:color w:val="000000"/>
          <w:sz w:val="24"/>
          <w:szCs w:val="24"/>
        </w:rPr>
        <w:t xml:space="preserve">reduced </w:t>
      </w:r>
      <w:r>
        <w:rPr>
          <w:rFonts w:cs="Times New Roman"/>
          <w:color w:val="000000"/>
          <w:sz w:val="24"/>
          <w:szCs w:val="24"/>
        </w:rPr>
        <w:t xml:space="preserve">electronic media use, and water consumption, we </w:t>
      </w:r>
      <w:r w:rsidR="003B18FB">
        <w:rPr>
          <w:rFonts w:cs="Times New Roman"/>
          <w:color w:val="000000"/>
          <w:sz w:val="24"/>
          <w:szCs w:val="24"/>
        </w:rPr>
        <w:t xml:space="preserve">recommend USDA include </w:t>
      </w:r>
      <w:r>
        <w:rPr>
          <w:rFonts w:cs="Times New Roman"/>
          <w:color w:val="000000"/>
          <w:sz w:val="24"/>
          <w:szCs w:val="24"/>
        </w:rPr>
        <w:t xml:space="preserve">guidance </w:t>
      </w:r>
      <w:r w:rsidR="00B45842">
        <w:rPr>
          <w:rFonts w:cs="Times New Roman"/>
          <w:color w:val="000000"/>
          <w:sz w:val="24"/>
          <w:szCs w:val="24"/>
        </w:rPr>
        <w:t xml:space="preserve">for providers and staff </w:t>
      </w:r>
      <w:r w:rsidR="008F3346">
        <w:rPr>
          <w:rFonts w:cs="Times New Roman"/>
          <w:color w:val="000000"/>
          <w:sz w:val="24"/>
          <w:szCs w:val="24"/>
        </w:rPr>
        <w:t xml:space="preserve">to not consume sugary drinks in front of </w:t>
      </w:r>
      <w:r w:rsidR="00733592">
        <w:rPr>
          <w:rFonts w:cs="Times New Roman"/>
          <w:color w:val="000000"/>
          <w:sz w:val="24"/>
          <w:szCs w:val="24"/>
        </w:rPr>
        <w:t>children</w:t>
      </w:r>
      <w:r w:rsidR="008F3346">
        <w:rPr>
          <w:rFonts w:cs="Times New Roman"/>
          <w:color w:val="000000"/>
          <w:sz w:val="24"/>
          <w:szCs w:val="24"/>
        </w:rPr>
        <w:t xml:space="preserve">. </w:t>
      </w:r>
    </w:p>
    <w:p w14:paraId="090759D3" w14:textId="77777777" w:rsidR="000D56DF" w:rsidRDefault="000D56DF" w:rsidP="001C3E43">
      <w:pPr>
        <w:spacing w:after="0" w:line="240" w:lineRule="auto"/>
        <w:rPr>
          <w:rFonts w:cs="Times New Roman"/>
          <w:color w:val="000000"/>
          <w:sz w:val="24"/>
          <w:szCs w:val="24"/>
        </w:rPr>
      </w:pPr>
    </w:p>
    <w:p w14:paraId="65B7E6C4" w14:textId="0EEC541F" w:rsidR="000D56DF" w:rsidRDefault="004A670C" w:rsidP="001C3E43">
      <w:pPr>
        <w:spacing w:after="0" w:line="240" w:lineRule="auto"/>
        <w:rPr>
          <w:rFonts w:cs="Times New Roman"/>
          <w:color w:val="000000"/>
          <w:sz w:val="24"/>
          <w:szCs w:val="24"/>
        </w:rPr>
      </w:pPr>
      <w:r>
        <w:rPr>
          <w:rFonts w:cs="Times New Roman"/>
          <w:color w:val="000000"/>
          <w:sz w:val="24"/>
          <w:szCs w:val="24"/>
        </w:rPr>
        <w:lastRenderedPageBreak/>
        <w:t>The HER Healthier Beverage Recommendations recommend not serving sugar-sweetened beverages to chi</w:t>
      </w:r>
      <w:r w:rsidR="000D56DF">
        <w:rPr>
          <w:rFonts w:cs="Times New Roman"/>
          <w:color w:val="000000"/>
          <w:sz w:val="24"/>
          <w:szCs w:val="24"/>
        </w:rPr>
        <w:t>ldren under 14 years of age</w:t>
      </w:r>
      <w:r>
        <w:rPr>
          <w:rFonts w:cs="Times New Roman"/>
          <w:color w:val="000000"/>
          <w:sz w:val="24"/>
          <w:szCs w:val="24"/>
        </w:rPr>
        <w:t xml:space="preserve"> and only</w:t>
      </w:r>
      <w:r w:rsidR="000D56DF">
        <w:rPr>
          <w:rFonts w:cs="Times New Roman"/>
          <w:color w:val="000000"/>
          <w:sz w:val="24"/>
          <w:szCs w:val="24"/>
        </w:rPr>
        <w:t xml:space="preserve"> small amounts of lower-calorie</w:t>
      </w:r>
      <w:r w:rsidR="008F3346">
        <w:rPr>
          <w:rFonts w:cs="Times New Roman"/>
          <w:color w:val="000000"/>
          <w:sz w:val="24"/>
          <w:szCs w:val="24"/>
        </w:rPr>
        <w:t xml:space="preserve"> sugar-sweetened beverages to</w:t>
      </w:r>
      <w:r>
        <w:rPr>
          <w:rFonts w:cs="Times New Roman"/>
          <w:color w:val="000000"/>
          <w:sz w:val="24"/>
          <w:szCs w:val="24"/>
        </w:rPr>
        <w:t xml:space="preserve"> older age groups.</w:t>
      </w:r>
      <w:r w:rsidR="00502F8B">
        <w:rPr>
          <w:rStyle w:val="FootnoteReference"/>
          <w:rFonts w:cs="Times New Roman"/>
          <w:color w:val="000000"/>
          <w:sz w:val="24"/>
          <w:szCs w:val="24"/>
        </w:rPr>
        <w:footnoteReference w:id="48"/>
      </w:r>
      <w:r w:rsidR="00B45842">
        <w:rPr>
          <w:rFonts w:cs="Times New Roman"/>
          <w:color w:val="000000"/>
          <w:sz w:val="24"/>
          <w:szCs w:val="24"/>
        </w:rPr>
        <w:t xml:space="preserve"> Sugar-sweetened beverages are </w:t>
      </w:r>
      <w:r w:rsidR="00B45842" w:rsidRPr="000D56DF">
        <w:rPr>
          <w:rFonts w:cs="Times New Roman"/>
          <w:color w:val="000000"/>
          <w:sz w:val="24"/>
          <w:szCs w:val="24"/>
        </w:rPr>
        <w:t xml:space="preserve">the largest source of added sugars </w:t>
      </w:r>
      <w:r w:rsidR="00B45842">
        <w:rPr>
          <w:rFonts w:cs="Times New Roman"/>
          <w:color w:val="000000"/>
          <w:sz w:val="24"/>
          <w:szCs w:val="24"/>
        </w:rPr>
        <w:t xml:space="preserve">and calories </w:t>
      </w:r>
      <w:r w:rsidR="00B45842" w:rsidRPr="000D56DF">
        <w:rPr>
          <w:rFonts w:cs="Times New Roman"/>
          <w:color w:val="000000"/>
          <w:sz w:val="24"/>
          <w:szCs w:val="24"/>
        </w:rPr>
        <w:t>in American</w:t>
      </w:r>
      <w:r w:rsidR="00B45842">
        <w:rPr>
          <w:rFonts w:cs="Times New Roman"/>
          <w:color w:val="000000"/>
          <w:sz w:val="24"/>
          <w:szCs w:val="24"/>
        </w:rPr>
        <w:t xml:space="preserve"> children’</w:t>
      </w:r>
      <w:r w:rsidR="00B45842" w:rsidRPr="000D56DF">
        <w:rPr>
          <w:rFonts w:cs="Times New Roman"/>
          <w:color w:val="000000"/>
          <w:sz w:val="24"/>
          <w:szCs w:val="24"/>
        </w:rPr>
        <w:t>s diets</w:t>
      </w:r>
      <w:r w:rsidR="00B45842">
        <w:rPr>
          <w:rFonts w:cs="Times New Roman"/>
          <w:color w:val="000000"/>
          <w:sz w:val="24"/>
          <w:szCs w:val="24"/>
        </w:rPr>
        <w:t>.</w:t>
      </w:r>
      <w:r w:rsidR="00502F8B">
        <w:rPr>
          <w:rStyle w:val="FootnoteReference"/>
          <w:rFonts w:cs="Times New Roman"/>
          <w:color w:val="000000"/>
          <w:sz w:val="24"/>
          <w:szCs w:val="24"/>
        </w:rPr>
        <w:footnoteReference w:id="49"/>
      </w:r>
      <w:r w:rsidR="00B45842" w:rsidRPr="000D56DF">
        <w:rPr>
          <w:rFonts w:cs="Times New Roman"/>
          <w:color w:val="000000"/>
          <w:sz w:val="24"/>
          <w:szCs w:val="24"/>
        </w:rPr>
        <w:t xml:space="preserve"> </w:t>
      </w:r>
      <w:r>
        <w:rPr>
          <w:rFonts w:cs="Times New Roman"/>
          <w:color w:val="000000"/>
          <w:sz w:val="24"/>
          <w:szCs w:val="24"/>
        </w:rPr>
        <w:t xml:space="preserve"> </w:t>
      </w:r>
      <w:r w:rsidR="000D56DF" w:rsidRPr="000D56DF">
        <w:rPr>
          <w:rFonts w:cs="Times New Roman"/>
          <w:color w:val="000000"/>
          <w:sz w:val="24"/>
          <w:szCs w:val="24"/>
        </w:rPr>
        <w:t>Convincing evidence from randomized trials suggests that drinking sugar-sweetened beverages</w:t>
      </w:r>
      <w:r w:rsidR="00B45842">
        <w:rPr>
          <w:rFonts w:cs="Times New Roman"/>
          <w:color w:val="000000"/>
          <w:sz w:val="24"/>
          <w:szCs w:val="24"/>
        </w:rPr>
        <w:t xml:space="preserve"> </w:t>
      </w:r>
      <w:r w:rsidR="000D56DF" w:rsidRPr="000D56DF">
        <w:rPr>
          <w:rFonts w:cs="Times New Roman"/>
          <w:color w:val="000000"/>
          <w:sz w:val="24"/>
          <w:szCs w:val="24"/>
        </w:rPr>
        <w:t>leads to weight gain in both children and adults.</w:t>
      </w:r>
      <w:r w:rsidR="00906CF9" w:rsidRPr="00906CF9">
        <w:rPr>
          <w:rStyle w:val="FootnoteReference"/>
          <w:rFonts w:cs="Times New Roman"/>
          <w:color w:val="000000"/>
          <w:sz w:val="24"/>
          <w:szCs w:val="24"/>
        </w:rPr>
        <w:t xml:space="preserve"> </w:t>
      </w:r>
      <w:r w:rsidR="00906CF9">
        <w:rPr>
          <w:rStyle w:val="FootnoteReference"/>
          <w:rFonts w:cs="Times New Roman"/>
          <w:color w:val="000000"/>
          <w:sz w:val="24"/>
          <w:szCs w:val="24"/>
        </w:rPr>
        <w:footnoteReference w:id="50"/>
      </w:r>
      <w:r w:rsidR="00906CF9">
        <w:rPr>
          <w:rFonts w:cs="Times New Roman"/>
          <w:color w:val="000000"/>
          <w:sz w:val="24"/>
          <w:szCs w:val="24"/>
          <w:vertAlign w:val="superscript"/>
        </w:rPr>
        <w:t>,</w:t>
      </w:r>
      <w:r w:rsidR="000D56DF" w:rsidRPr="000D56DF">
        <w:rPr>
          <w:rFonts w:cs="Times New Roman"/>
          <w:color w:val="000000"/>
          <w:sz w:val="24"/>
          <w:szCs w:val="24"/>
          <w:vertAlign w:val="superscript"/>
        </w:rPr>
        <w:footnoteReference w:id="51"/>
      </w:r>
      <w:r w:rsidR="000D56DF" w:rsidRPr="000D56DF">
        <w:rPr>
          <w:rFonts w:cs="Times New Roman"/>
          <w:color w:val="000000"/>
          <w:sz w:val="24"/>
          <w:szCs w:val="24"/>
          <w:vertAlign w:val="superscript"/>
        </w:rPr>
        <w:t xml:space="preserve"> </w:t>
      </w:r>
      <w:r w:rsidR="008F3346">
        <w:rPr>
          <w:rFonts w:cs="Times New Roman"/>
          <w:color w:val="000000"/>
          <w:sz w:val="24"/>
          <w:szCs w:val="24"/>
        </w:rPr>
        <w:t xml:space="preserve"> Sugar-sweetened beverages </w:t>
      </w:r>
      <w:r w:rsidR="000D56DF" w:rsidRPr="000D56DF">
        <w:rPr>
          <w:rFonts w:cs="Times New Roman"/>
          <w:color w:val="000000"/>
          <w:sz w:val="24"/>
          <w:szCs w:val="24"/>
        </w:rPr>
        <w:t xml:space="preserve">also </w:t>
      </w:r>
      <w:r w:rsidR="008F3346">
        <w:rPr>
          <w:rFonts w:cs="Times New Roman"/>
          <w:color w:val="000000"/>
          <w:sz w:val="24"/>
          <w:szCs w:val="24"/>
        </w:rPr>
        <w:t xml:space="preserve">are </w:t>
      </w:r>
      <w:r w:rsidR="000D56DF" w:rsidRPr="000D56DF">
        <w:rPr>
          <w:rFonts w:cs="Times New Roman"/>
          <w:color w:val="000000"/>
          <w:sz w:val="24"/>
          <w:szCs w:val="24"/>
        </w:rPr>
        <w:t>associated with cardiovascular disease, type 2 diabetes, the metabolic syndrome, gout, and dental caries.</w:t>
      </w:r>
      <w:r w:rsidR="000D56DF" w:rsidRPr="000D56DF">
        <w:rPr>
          <w:rFonts w:cs="Times New Roman"/>
          <w:color w:val="000000"/>
          <w:sz w:val="24"/>
          <w:szCs w:val="24"/>
          <w:vertAlign w:val="superscript"/>
        </w:rPr>
        <w:footnoteReference w:id="52"/>
      </w:r>
      <w:r w:rsidR="008F3346">
        <w:rPr>
          <w:rFonts w:cs="Times New Roman"/>
          <w:color w:val="000000"/>
          <w:sz w:val="24"/>
          <w:szCs w:val="24"/>
          <w:vertAlign w:val="superscript"/>
        </w:rPr>
        <w:t>,</w:t>
      </w:r>
      <w:r w:rsidR="00906CF9">
        <w:rPr>
          <w:rStyle w:val="FootnoteReference"/>
          <w:rFonts w:cs="Times New Roman"/>
          <w:color w:val="000000"/>
          <w:sz w:val="24"/>
          <w:szCs w:val="24"/>
        </w:rPr>
        <w:footnoteReference w:id="53"/>
      </w:r>
      <w:r w:rsidR="008F3346">
        <w:rPr>
          <w:rFonts w:cs="Times New Roman"/>
          <w:color w:val="000000"/>
          <w:sz w:val="24"/>
          <w:szCs w:val="24"/>
          <w:vertAlign w:val="superscript"/>
        </w:rPr>
        <w:t>,</w:t>
      </w:r>
      <w:r w:rsidR="00906CF9">
        <w:rPr>
          <w:rStyle w:val="FootnoteReference"/>
          <w:rFonts w:cs="Times New Roman"/>
          <w:color w:val="000000"/>
          <w:sz w:val="24"/>
          <w:szCs w:val="24"/>
        </w:rPr>
        <w:footnoteReference w:id="54"/>
      </w:r>
      <w:r w:rsidR="008F3346">
        <w:rPr>
          <w:rFonts w:cs="Times New Roman"/>
          <w:color w:val="000000"/>
          <w:sz w:val="24"/>
          <w:szCs w:val="24"/>
          <w:vertAlign w:val="superscript"/>
        </w:rPr>
        <w:t>,</w:t>
      </w:r>
      <w:r w:rsidR="00906CF9">
        <w:rPr>
          <w:rStyle w:val="FootnoteReference"/>
          <w:rFonts w:cs="Times New Roman"/>
          <w:color w:val="000000"/>
          <w:sz w:val="24"/>
          <w:szCs w:val="24"/>
        </w:rPr>
        <w:footnoteReference w:id="55"/>
      </w:r>
      <w:r w:rsidR="000D56DF" w:rsidRPr="000D56DF">
        <w:rPr>
          <w:rFonts w:cs="Times New Roman"/>
          <w:color w:val="000000"/>
          <w:sz w:val="24"/>
          <w:szCs w:val="24"/>
        </w:rPr>
        <w:t xml:space="preserve">  </w:t>
      </w:r>
      <w:r w:rsidR="00B45842">
        <w:rPr>
          <w:rFonts w:cs="Times New Roman"/>
          <w:color w:val="000000"/>
          <w:sz w:val="24"/>
          <w:szCs w:val="24"/>
        </w:rPr>
        <w:t>S</w:t>
      </w:r>
      <w:r w:rsidR="000D56DF">
        <w:rPr>
          <w:rFonts w:cs="Times New Roman"/>
          <w:color w:val="000000"/>
          <w:sz w:val="24"/>
          <w:szCs w:val="24"/>
        </w:rPr>
        <w:t xml:space="preserve">ome state agencies </w:t>
      </w:r>
      <w:r w:rsidR="00B45842">
        <w:rPr>
          <w:rFonts w:cs="Times New Roman"/>
          <w:color w:val="000000"/>
          <w:sz w:val="24"/>
          <w:szCs w:val="24"/>
        </w:rPr>
        <w:t xml:space="preserve">already </w:t>
      </w:r>
      <w:r w:rsidR="000D56DF">
        <w:rPr>
          <w:rFonts w:cs="Times New Roman"/>
          <w:color w:val="000000"/>
          <w:sz w:val="24"/>
          <w:szCs w:val="24"/>
        </w:rPr>
        <w:t>restrict sugar-sweetened beverages in child care facilities</w:t>
      </w:r>
      <w:r w:rsidR="008F3346">
        <w:rPr>
          <w:rFonts w:cs="Times New Roman"/>
          <w:color w:val="000000"/>
          <w:sz w:val="24"/>
          <w:szCs w:val="24"/>
        </w:rPr>
        <w:t>, such as</w:t>
      </w:r>
      <w:r w:rsidR="000D56DF">
        <w:rPr>
          <w:rFonts w:cs="Times New Roman"/>
          <w:color w:val="000000"/>
          <w:sz w:val="24"/>
          <w:szCs w:val="24"/>
        </w:rPr>
        <w:t xml:space="preserve"> New Jersey</w:t>
      </w:r>
      <w:r w:rsidR="00CF7934">
        <w:rPr>
          <w:rFonts w:cs="Times New Roman"/>
          <w:color w:val="000000"/>
          <w:sz w:val="24"/>
          <w:szCs w:val="24"/>
        </w:rPr>
        <w:t>.</w:t>
      </w:r>
      <w:r w:rsidR="00CF7934">
        <w:rPr>
          <w:rStyle w:val="FootnoteReference"/>
          <w:rFonts w:cs="Times New Roman"/>
          <w:color w:val="000000"/>
          <w:sz w:val="24"/>
          <w:szCs w:val="24"/>
        </w:rPr>
        <w:footnoteReference w:id="56"/>
      </w:r>
      <w:r w:rsidR="003B18FB">
        <w:rPr>
          <w:rFonts w:cs="Times New Roman"/>
          <w:color w:val="000000"/>
          <w:sz w:val="24"/>
          <w:szCs w:val="24"/>
        </w:rPr>
        <w:t xml:space="preserve"> </w:t>
      </w:r>
    </w:p>
    <w:p w14:paraId="51ECEB59" w14:textId="77777777" w:rsidR="00484F40" w:rsidRDefault="00484F40" w:rsidP="001C3E43">
      <w:pPr>
        <w:spacing w:after="0" w:line="240" w:lineRule="auto"/>
        <w:rPr>
          <w:rFonts w:cs="Times New Roman"/>
          <w:color w:val="000000"/>
          <w:sz w:val="24"/>
          <w:szCs w:val="24"/>
        </w:rPr>
      </w:pPr>
    </w:p>
    <w:p w14:paraId="0334D5D4" w14:textId="5F751D9B" w:rsidR="004B194B" w:rsidRPr="00765996" w:rsidRDefault="004B194B" w:rsidP="001C3E43">
      <w:pPr>
        <w:spacing w:after="0" w:line="240" w:lineRule="auto"/>
        <w:rPr>
          <w:b/>
          <w:sz w:val="24"/>
          <w:szCs w:val="24"/>
        </w:rPr>
      </w:pPr>
      <w:r w:rsidRPr="00765996">
        <w:rPr>
          <w:b/>
          <w:sz w:val="24"/>
          <w:szCs w:val="24"/>
        </w:rPr>
        <w:t>Proposed Miscellaneous Changes</w:t>
      </w:r>
    </w:p>
    <w:p w14:paraId="12C211FE" w14:textId="77777777" w:rsidR="002157B5" w:rsidRDefault="002157B5" w:rsidP="001C3E43">
      <w:pPr>
        <w:spacing w:after="0" w:line="240" w:lineRule="auto"/>
        <w:rPr>
          <w:b/>
          <w:sz w:val="24"/>
          <w:szCs w:val="24"/>
        </w:rPr>
      </w:pPr>
    </w:p>
    <w:p w14:paraId="3A390641" w14:textId="38B1C24E" w:rsidR="002157B5" w:rsidRPr="002157B5" w:rsidRDefault="002157B5" w:rsidP="001C3E43">
      <w:pPr>
        <w:spacing w:after="0" w:line="240" w:lineRule="auto"/>
        <w:rPr>
          <w:sz w:val="24"/>
          <w:szCs w:val="24"/>
          <w:u w:val="single"/>
        </w:rPr>
      </w:pPr>
      <w:r>
        <w:rPr>
          <w:sz w:val="24"/>
          <w:szCs w:val="24"/>
          <w:u w:val="single"/>
        </w:rPr>
        <w:t>Water</w:t>
      </w:r>
    </w:p>
    <w:p w14:paraId="1CFBD8E5" w14:textId="090D8476" w:rsidR="004B194B" w:rsidRPr="00D55F15" w:rsidRDefault="00D55F15" w:rsidP="001C3E43">
      <w:pPr>
        <w:spacing w:after="0" w:line="240" w:lineRule="auto"/>
        <w:rPr>
          <w:sz w:val="24"/>
          <w:szCs w:val="24"/>
        </w:rPr>
      </w:pPr>
      <w:r w:rsidRPr="00D55F15">
        <w:rPr>
          <w:sz w:val="24"/>
          <w:szCs w:val="24"/>
        </w:rPr>
        <w:t>We support the proposed requirement that providers make drinking water available to children throughout the day</w:t>
      </w:r>
      <w:r>
        <w:rPr>
          <w:sz w:val="24"/>
          <w:szCs w:val="24"/>
        </w:rPr>
        <w:t xml:space="preserve">.  </w:t>
      </w:r>
      <w:r w:rsidRPr="00D55F15">
        <w:rPr>
          <w:sz w:val="24"/>
          <w:szCs w:val="24"/>
        </w:rPr>
        <w:t xml:space="preserve">USDA should, however, clarify that safe, fresh drinking water should be available and accessible for children to serve themselves at all times, both indoors and outdoors.  Children should not have to request water from the provider; water should be freely available and children should be encouraged to drink it.  Providers </w:t>
      </w:r>
      <w:r w:rsidR="00B01BDC">
        <w:rPr>
          <w:sz w:val="24"/>
          <w:szCs w:val="24"/>
        </w:rPr>
        <w:t xml:space="preserve">also should </w:t>
      </w:r>
      <w:r w:rsidR="00D01C4D">
        <w:rPr>
          <w:sz w:val="24"/>
          <w:szCs w:val="24"/>
        </w:rPr>
        <w:t xml:space="preserve">be encouraged to </w:t>
      </w:r>
      <w:r w:rsidRPr="00D55F15">
        <w:rPr>
          <w:sz w:val="24"/>
          <w:szCs w:val="24"/>
        </w:rPr>
        <w:t>serve as role model</w:t>
      </w:r>
      <w:r w:rsidR="00D01C4D">
        <w:rPr>
          <w:sz w:val="24"/>
          <w:szCs w:val="24"/>
        </w:rPr>
        <w:t>s</w:t>
      </w:r>
      <w:r w:rsidRPr="00D55F15">
        <w:rPr>
          <w:sz w:val="24"/>
          <w:szCs w:val="24"/>
        </w:rPr>
        <w:t>, drinking water throughout the day instead of drinking beverages such as soda, fruit drinks</w:t>
      </w:r>
      <w:r w:rsidR="00B01BDC">
        <w:rPr>
          <w:sz w:val="24"/>
          <w:szCs w:val="24"/>
        </w:rPr>
        <w:t>,</w:t>
      </w:r>
      <w:r w:rsidRPr="00D55F15">
        <w:rPr>
          <w:sz w:val="24"/>
          <w:szCs w:val="24"/>
        </w:rPr>
        <w:t xml:space="preserve"> and sports drinks that are high in added sugar</w:t>
      </w:r>
      <w:r w:rsidR="00B01BDC">
        <w:rPr>
          <w:sz w:val="24"/>
          <w:szCs w:val="24"/>
        </w:rPr>
        <w:t>s</w:t>
      </w:r>
      <w:r w:rsidR="00D01C4D">
        <w:rPr>
          <w:sz w:val="24"/>
          <w:szCs w:val="24"/>
        </w:rPr>
        <w:t xml:space="preserve"> in front of children</w:t>
      </w:r>
      <w:r w:rsidRPr="00D55F15">
        <w:rPr>
          <w:sz w:val="24"/>
          <w:szCs w:val="24"/>
        </w:rPr>
        <w:t>.</w:t>
      </w:r>
    </w:p>
    <w:p w14:paraId="57E29924" w14:textId="77777777" w:rsidR="00D55F15" w:rsidRDefault="00D55F15" w:rsidP="001C3E43">
      <w:pPr>
        <w:spacing w:after="0" w:line="240" w:lineRule="auto"/>
        <w:rPr>
          <w:b/>
          <w:sz w:val="24"/>
          <w:szCs w:val="24"/>
        </w:rPr>
      </w:pPr>
    </w:p>
    <w:p w14:paraId="04BC897C" w14:textId="77777777" w:rsidR="004B194B" w:rsidRPr="00A65201" w:rsidRDefault="004B194B" w:rsidP="001C3E43">
      <w:pPr>
        <w:spacing w:after="0" w:line="240" w:lineRule="auto"/>
        <w:rPr>
          <w:sz w:val="24"/>
          <w:szCs w:val="24"/>
        </w:rPr>
      </w:pPr>
      <w:r w:rsidRPr="008E3FD2">
        <w:rPr>
          <w:sz w:val="24"/>
          <w:szCs w:val="24"/>
          <w:u w:val="single"/>
        </w:rPr>
        <w:t>Family-Style Eating and Offer vs. Serve</w:t>
      </w:r>
      <w:r w:rsidR="00A65201">
        <w:rPr>
          <w:sz w:val="24"/>
          <w:szCs w:val="24"/>
        </w:rPr>
        <w:t xml:space="preserve"> </w:t>
      </w:r>
    </w:p>
    <w:p w14:paraId="4FF31EAE" w14:textId="60A897DA" w:rsidR="004B194B" w:rsidRPr="004B194B" w:rsidRDefault="004B194B" w:rsidP="001C3E43">
      <w:pPr>
        <w:spacing w:after="0" w:line="240" w:lineRule="auto"/>
        <w:rPr>
          <w:sz w:val="24"/>
          <w:szCs w:val="24"/>
        </w:rPr>
      </w:pPr>
      <w:r>
        <w:rPr>
          <w:sz w:val="24"/>
          <w:szCs w:val="24"/>
        </w:rPr>
        <w:t>We recommend</w:t>
      </w:r>
      <w:r w:rsidRPr="004B194B">
        <w:rPr>
          <w:sz w:val="24"/>
          <w:szCs w:val="24"/>
        </w:rPr>
        <w:t xml:space="preserve"> further clarification on offer vs. serve, particularly drawing a clear distinction b</w:t>
      </w:r>
      <w:r>
        <w:rPr>
          <w:sz w:val="24"/>
          <w:szCs w:val="24"/>
        </w:rPr>
        <w:t>etween this practice and family-</w:t>
      </w:r>
      <w:r w:rsidRPr="004B194B">
        <w:rPr>
          <w:sz w:val="24"/>
          <w:szCs w:val="24"/>
        </w:rPr>
        <w:t>sty</w:t>
      </w:r>
      <w:r>
        <w:rPr>
          <w:sz w:val="24"/>
          <w:szCs w:val="24"/>
        </w:rPr>
        <w:t>le dining.  S</w:t>
      </w:r>
      <w:r w:rsidRPr="004B194B">
        <w:rPr>
          <w:sz w:val="24"/>
          <w:szCs w:val="24"/>
        </w:rPr>
        <w:t>om</w:t>
      </w:r>
      <w:r w:rsidR="00A65201">
        <w:rPr>
          <w:sz w:val="24"/>
          <w:szCs w:val="24"/>
        </w:rPr>
        <w:t>e</w:t>
      </w:r>
      <w:r>
        <w:rPr>
          <w:sz w:val="24"/>
          <w:szCs w:val="24"/>
        </w:rPr>
        <w:t xml:space="preserve"> providers are confused</w:t>
      </w:r>
      <w:r w:rsidRPr="004B194B">
        <w:rPr>
          <w:sz w:val="24"/>
          <w:szCs w:val="24"/>
        </w:rPr>
        <w:t xml:space="preserve"> around the difference bet</w:t>
      </w:r>
      <w:r>
        <w:rPr>
          <w:sz w:val="24"/>
          <w:szCs w:val="24"/>
        </w:rPr>
        <w:t>ween offer vs. serve and family-</w:t>
      </w:r>
      <w:r w:rsidRPr="004B194B">
        <w:rPr>
          <w:sz w:val="24"/>
          <w:szCs w:val="24"/>
        </w:rPr>
        <w:t>style dining.</w:t>
      </w:r>
      <w:r w:rsidR="0092208A">
        <w:rPr>
          <w:sz w:val="24"/>
          <w:szCs w:val="24"/>
        </w:rPr>
        <w:t xml:space="preserve"> </w:t>
      </w:r>
      <w:r w:rsidRPr="004B194B">
        <w:rPr>
          <w:sz w:val="24"/>
          <w:szCs w:val="24"/>
        </w:rPr>
        <w:t xml:space="preserve"> In some cases, providers are interpreting these two distinct practices as the same.</w:t>
      </w:r>
      <w:r w:rsidR="0092208A">
        <w:rPr>
          <w:sz w:val="24"/>
          <w:szCs w:val="24"/>
        </w:rPr>
        <w:t xml:space="preserve"> </w:t>
      </w:r>
      <w:r w:rsidRPr="004B194B">
        <w:rPr>
          <w:sz w:val="24"/>
          <w:szCs w:val="24"/>
        </w:rPr>
        <w:t xml:space="preserve"> For example, during family-style meal service</w:t>
      </w:r>
      <w:r w:rsidR="00765996">
        <w:rPr>
          <w:sz w:val="24"/>
          <w:szCs w:val="24"/>
        </w:rPr>
        <w:t>,</w:t>
      </w:r>
      <w:r w:rsidRPr="004B194B">
        <w:rPr>
          <w:sz w:val="24"/>
          <w:szCs w:val="24"/>
        </w:rPr>
        <w:t xml:space="preserve"> </w:t>
      </w:r>
      <w:r>
        <w:rPr>
          <w:sz w:val="24"/>
          <w:szCs w:val="24"/>
        </w:rPr>
        <w:t>ECE</w:t>
      </w:r>
      <w:r w:rsidRPr="004B194B">
        <w:rPr>
          <w:sz w:val="24"/>
          <w:szCs w:val="24"/>
        </w:rPr>
        <w:t xml:space="preserve"> providers are unclear on if they will still be reimbursed for placing foods that meet the meal pattern requirements into </w:t>
      </w:r>
      <w:r w:rsidR="00C10651">
        <w:rPr>
          <w:sz w:val="24"/>
          <w:szCs w:val="24"/>
        </w:rPr>
        <w:t xml:space="preserve">a serving bowl and offering </w:t>
      </w:r>
      <w:r w:rsidRPr="004B194B">
        <w:rPr>
          <w:sz w:val="24"/>
          <w:szCs w:val="24"/>
        </w:rPr>
        <w:t xml:space="preserve">children to serve themselves or if they must serve the required portion size and place it on the child’s plate. </w:t>
      </w:r>
      <w:r w:rsidR="0092208A">
        <w:rPr>
          <w:sz w:val="24"/>
          <w:szCs w:val="24"/>
        </w:rPr>
        <w:t xml:space="preserve"> </w:t>
      </w:r>
      <w:r w:rsidRPr="004B194B">
        <w:rPr>
          <w:sz w:val="24"/>
          <w:szCs w:val="24"/>
        </w:rPr>
        <w:t xml:space="preserve">This is a concern considering the changes this rule makes to offer vs. serve practices in school-based programs. </w:t>
      </w:r>
      <w:r w:rsidR="0092208A">
        <w:rPr>
          <w:sz w:val="24"/>
          <w:szCs w:val="24"/>
        </w:rPr>
        <w:t xml:space="preserve"> </w:t>
      </w:r>
      <w:r>
        <w:rPr>
          <w:sz w:val="24"/>
          <w:szCs w:val="24"/>
        </w:rPr>
        <w:t>We believe that family-</w:t>
      </w:r>
      <w:r w:rsidRPr="004B194B">
        <w:rPr>
          <w:sz w:val="24"/>
          <w:szCs w:val="24"/>
        </w:rPr>
        <w:t xml:space="preserve">style dining is a valuable and effective tool </w:t>
      </w:r>
      <w:r w:rsidR="00765996">
        <w:rPr>
          <w:sz w:val="24"/>
          <w:szCs w:val="24"/>
        </w:rPr>
        <w:t>for</w:t>
      </w:r>
      <w:r w:rsidRPr="004B194B">
        <w:rPr>
          <w:sz w:val="24"/>
          <w:szCs w:val="24"/>
        </w:rPr>
        <w:t xml:space="preserve"> teaching children under five appropriate portion sizes, hunger</w:t>
      </w:r>
      <w:r>
        <w:rPr>
          <w:sz w:val="24"/>
          <w:szCs w:val="24"/>
        </w:rPr>
        <w:t xml:space="preserve"> and fullness cues, and self-</w:t>
      </w:r>
      <w:r w:rsidRPr="004B194B">
        <w:rPr>
          <w:sz w:val="24"/>
          <w:szCs w:val="24"/>
        </w:rPr>
        <w:t>serving skill</w:t>
      </w:r>
      <w:r>
        <w:rPr>
          <w:sz w:val="24"/>
          <w:szCs w:val="24"/>
        </w:rPr>
        <w:t>s</w:t>
      </w:r>
      <w:r w:rsidRPr="004B194B">
        <w:rPr>
          <w:sz w:val="24"/>
          <w:szCs w:val="24"/>
        </w:rPr>
        <w:t xml:space="preserve"> and should be </w:t>
      </w:r>
      <w:r w:rsidRPr="004B194B">
        <w:rPr>
          <w:sz w:val="24"/>
          <w:szCs w:val="24"/>
        </w:rPr>
        <w:lastRenderedPageBreak/>
        <w:t xml:space="preserve">further encouraged with clarification to </w:t>
      </w:r>
      <w:r w:rsidR="00765996">
        <w:rPr>
          <w:sz w:val="24"/>
          <w:szCs w:val="24"/>
        </w:rPr>
        <w:t>the difference between it and the offer versus serve requirements</w:t>
      </w:r>
      <w:r w:rsidRPr="004B194B">
        <w:rPr>
          <w:sz w:val="24"/>
          <w:szCs w:val="24"/>
        </w:rPr>
        <w:t>.</w:t>
      </w:r>
    </w:p>
    <w:p w14:paraId="3CECE1BD" w14:textId="77777777" w:rsidR="004B194B" w:rsidRPr="004B194B" w:rsidRDefault="004B194B" w:rsidP="001C3E43">
      <w:pPr>
        <w:spacing w:after="0" w:line="240" w:lineRule="auto"/>
        <w:rPr>
          <w:sz w:val="24"/>
          <w:szCs w:val="24"/>
        </w:rPr>
      </w:pPr>
      <w:r w:rsidRPr="004B194B">
        <w:rPr>
          <w:sz w:val="24"/>
          <w:szCs w:val="24"/>
        </w:rPr>
        <w:t xml:space="preserve"> </w:t>
      </w:r>
    </w:p>
    <w:p w14:paraId="669CD20B" w14:textId="6E3562FE" w:rsidR="004B194B" w:rsidRDefault="004B194B" w:rsidP="001C3E43">
      <w:pPr>
        <w:spacing w:after="0" w:line="240" w:lineRule="auto"/>
        <w:rPr>
          <w:sz w:val="24"/>
          <w:szCs w:val="24"/>
        </w:rPr>
      </w:pPr>
      <w:r w:rsidRPr="004B194B">
        <w:rPr>
          <w:sz w:val="24"/>
          <w:szCs w:val="24"/>
        </w:rPr>
        <w:t>One way USDA could help clarify this difference is to provide visual resources such as videos demonstrating each practice</w:t>
      </w:r>
      <w:r w:rsidR="00765996">
        <w:rPr>
          <w:sz w:val="24"/>
          <w:szCs w:val="24"/>
        </w:rPr>
        <w:t>,</w:t>
      </w:r>
      <w:r w:rsidRPr="004B194B">
        <w:rPr>
          <w:sz w:val="24"/>
          <w:szCs w:val="24"/>
        </w:rPr>
        <w:t xml:space="preserve"> such as those available through the Lets Move! Child Care (LMCC) </w:t>
      </w:r>
      <w:r w:rsidRPr="001B6D2B">
        <w:rPr>
          <w:sz w:val="24"/>
          <w:szCs w:val="24"/>
        </w:rPr>
        <w:t>website</w:t>
      </w:r>
      <w:r w:rsidRPr="004B194B">
        <w:rPr>
          <w:sz w:val="24"/>
          <w:szCs w:val="24"/>
        </w:rPr>
        <w:t>.</w:t>
      </w:r>
      <w:r w:rsidR="001B6D2B">
        <w:rPr>
          <w:rStyle w:val="FootnoteReference"/>
          <w:sz w:val="24"/>
          <w:szCs w:val="24"/>
        </w:rPr>
        <w:footnoteReference w:id="57"/>
      </w:r>
      <w:r w:rsidRPr="004B194B">
        <w:rPr>
          <w:sz w:val="24"/>
          <w:szCs w:val="24"/>
        </w:rPr>
        <w:t xml:space="preserve"> </w:t>
      </w:r>
    </w:p>
    <w:p w14:paraId="2932EDA7" w14:textId="77777777" w:rsidR="00BE5239" w:rsidRPr="00BE5239" w:rsidRDefault="00BE5239" w:rsidP="001C3E43">
      <w:pPr>
        <w:spacing w:after="0" w:line="240" w:lineRule="auto"/>
        <w:rPr>
          <w:i/>
          <w:sz w:val="24"/>
          <w:szCs w:val="24"/>
          <w:u w:val="single"/>
        </w:rPr>
      </w:pPr>
    </w:p>
    <w:p w14:paraId="21D3EA99" w14:textId="7F026661" w:rsidR="004B194B" w:rsidRDefault="00A65201" w:rsidP="001C3E43">
      <w:pPr>
        <w:spacing w:after="0" w:line="240" w:lineRule="auto"/>
        <w:rPr>
          <w:sz w:val="24"/>
          <w:szCs w:val="24"/>
        </w:rPr>
      </w:pPr>
      <w:r w:rsidRPr="00A65201">
        <w:rPr>
          <w:i/>
          <w:sz w:val="24"/>
          <w:szCs w:val="24"/>
        </w:rPr>
        <w:t>Best practice:</w:t>
      </w:r>
      <w:r>
        <w:rPr>
          <w:sz w:val="24"/>
          <w:szCs w:val="24"/>
        </w:rPr>
        <w:t xml:space="preserve"> w</w:t>
      </w:r>
      <w:r w:rsidR="004B194B" w:rsidRPr="004B194B">
        <w:rPr>
          <w:sz w:val="24"/>
          <w:szCs w:val="24"/>
        </w:rPr>
        <w:t xml:space="preserve">e </w:t>
      </w:r>
      <w:r w:rsidR="00177C62">
        <w:rPr>
          <w:sz w:val="24"/>
          <w:szCs w:val="24"/>
        </w:rPr>
        <w:t>are</w:t>
      </w:r>
      <w:r w:rsidR="00213362">
        <w:rPr>
          <w:sz w:val="24"/>
          <w:szCs w:val="24"/>
        </w:rPr>
        <w:t xml:space="preserve"> </w:t>
      </w:r>
      <w:r>
        <w:rPr>
          <w:sz w:val="24"/>
          <w:szCs w:val="24"/>
        </w:rPr>
        <w:t>supportive of family-</w:t>
      </w:r>
      <w:r w:rsidR="004B194B" w:rsidRPr="004B194B">
        <w:rPr>
          <w:sz w:val="24"/>
          <w:szCs w:val="24"/>
        </w:rPr>
        <w:t>style meal practices and their promotion in federal nutrition programs for preschool age c</w:t>
      </w:r>
      <w:r>
        <w:rPr>
          <w:sz w:val="24"/>
          <w:szCs w:val="24"/>
        </w:rPr>
        <w:t xml:space="preserve">hildren. </w:t>
      </w:r>
      <w:r w:rsidR="0092208A">
        <w:rPr>
          <w:sz w:val="24"/>
          <w:szCs w:val="24"/>
        </w:rPr>
        <w:t xml:space="preserve"> </w:t>
      </w:r>
      <w:r w:rsidR="00224FA8">
        <w:rPr>
          <w:sz w:val="24"/>
          <w:szCs w:val="24"/>
        </w:rPr>
        <w:t xml:space="preserve">We recommend USDA </w:t>
      </w:r>
      <w:r w:rsidR="007115DC">
        <w:rPr>
          <w:sz w:val="24"/>
          <w:szCs w:val="24"/>
        </w:rPr>
        <w:t xml:space="preserve">include a best practice around family-style dining. </w:t>
      </w:r>
      <w:r w:rsidR="0092208A">
        <w:rPr>
          <w:sz w:val="24"/>
          <w:szCs w:val="24"/>
        </w:rPr>
        <w:t xml:space="preserve"> </w:t>
      </w:r>
      <w:r>
        <w:rPr>
          <w:sz w:val="24"/>
          <w:szCs w:val="24"/>
        </w:rPr>
        <w:t>The benefits of family-</w:t>
      </w:r>
      <w:r w:rsidR="004B194B" w:rsidRPr="004B194B">
        <w:rPr>
          <w:sz w:val="24"/>
          <w:szCs w:val="24"/>
        </w:rPr>
        <w:t>style meal service include:</w:t>
      </w:r>
    </w:p>
    <w:p w14:paraId="59DBBBA2" w14:textId="77777777" w:rsidR="00177C62" w:rsidRPr="004B194B" w:rsidRDefault="00177C62" w:rsidP="001C3E43">
      <w:pPr>
        <w:spacing w:after="0" w:line="240" w:lineRule="auto"/>
        <w:rPr>
          <w:sz w:val="24"/>
          <w:szCs w:val="24"/>
        </w:rPr>
      </w:pPr>
    </w:p>
    <w:p w14:paraId="5DBA1DB3" w14:textId="77777777" w:rsidR="004B194B" w:rsidRPr="00177C62" w:rsidRDefault="004B194B" w:rsidP="001C3E43">
      <w:pPr>
        <w:pStyle w:val="ListParagraph"/>
        <w:numPr>
          <w:ilvl w:val="0"/>
          <w:numId w:val="4"/>
        </w:numPr>
        <w:spacing w:after="0" w:line="240" w:lineRule="auto"/>
        <w:rPr>
          <w:sz w:val="24"/>
          <w:szCs w:val="24"/>
        </w:rPr>
      </w:pPr>
      <w:r w:rsidRPr="00177C62">
        <w:rPr>
          <w:sz w:val="24"/>
          <w:szCs w:val="24"/>
        </w:rPr>
        <w:t>Improved self-feeding skills and recognition of hunger and fullness cues</w:t>
      </w:r>
      <w:r w:rsidR="00177C62">
        <w:rPr>
          <w:sz w:val="24"/>
          <w:szCs w:val="24"/>
        </w:rPr>
        <w:t>.</w:t>
      </w:r>
    </w:p>
    <w:p w14:paraId="481252CA" w14:textId="3ED6711E" w:rsidR="004B194B" w:rsidRPr="00177C62" w:rsidRDefault="00765996" w:rsidP="001C3E43">
      <w:pPr>
        <w:pStyle w:val="ListParagraph"/>
        <w:numPr>
          <w:ilvl w:val="0"/>
          <w:numId w:val="4"/>
        </w:numPr>
        <w:spacing w:after="0" w:line="240" w:lineRule="auto"/>
        <w:rPr>
          <w:sz w:val="24"/>
          <w:szCs w:val="24"/>
        </w:rPr>
      </w:pPr>
      <w:r>
        <w:rPr>
          <w:sz w:val="24"/>
          <w:szCs w:val="24"/>
        </w:rPr>
        <w:t xml:space="preserve">Cultivating </w:t>
      </w:r>
      <w:r w:rsidR="00177C62">
        <w:rPr>
          <w:sz w:val="24"/>
          <w:szCs w:val="24"/>
        </w:rPr>
        <w:t xml:space="preserve">understanding of </w:t>
      </w:r>
      <w:r w:rsidR="004B194B" w:rsidRPr="00177C62">
        <w:rPr>
          <w:sz w:val="24"/>
          <w:szCs w:val="24"/>
        </w:rPr>
        <w:t>appropriate portion sizes for different meal components</w:t>
      </w:r>
      <w:r w:rsidR="00177C62">
        <w:rPr>
          <w:sz w:val="24"/>
          <w:szCs w:val="24"/>
        </w:rPr>
        <w:t>.</w:t>
      </w:r>
    </w:p>
    <w:p w14:paraId="01FEE568" w14:textId="77777777" w:rsidR="004B194B" w:rsidRPr="00177C62" w:rsidRDefault="004B194B" w:rsidP="001C3E43">
      <w:pPr>
        <w:pStyle w:val="ListParagraph"/>
        <w:numPr>
          <w:ilvl w:val="0"/>
          <w:numId w:val="4"/>
        </w:numPr>
        <w:spacing w:after="0" w:line="240" w:lineRule="auto"/>
        <w:rPr>
          <w:sz w:val="24"/>
          <w:szCs w:val="24"/>
        </w:rPr>
      </w:pPr>
      <w:r w:rsidRPr="00177C62">
        <w:rPr>
          <w:sz w:val="24"/>
          <w:szCs w:val="24"/>
        </w:rPr>
        <w:t>Support of social, emotional</w:t>
      </w:r>
      <w:r w:rsidR="00A65201">
        <w:rPr>
          <w:sz w:val="24"/>
          <w:szCs w:val="24"/>
        </w:rPr>
        <w:t>,</w:t>
      </w:r>
      <w:r w:rsidRPr="00177C62">
        <w:rPr>
          <w:sz w:val="24"/>
          <w:szCs w:val="24"/>
        </w:rPr>
        <w:t xml:space="preserve"> and motor skill development</w:t>
      </w:r>
      <w:r w:rsidR="00177C62">
        <w:rPr>
          <w:sz w:val="24"/>
          <w:szCs w:val="24"/>
        </w:rPr>
        <w:t>.</w:t>
      </w:r>
    </w:p>
    <w:p w14:paraId="2AB367FA" w14:textId="0EC69203" w:rsidR="004B194B" w:rsidRPr="00177C62" w:rsidRDefault="00765996" w:rsidP="001C3E43">
      <w:pPr>
        <w:pStyle w:val="ListParagraph"/>
        <w:numPr>
          <w:ilvl w:val="0"/>
          <w:numId w:val="4"/>
        </w:numPr>
        <w:spacing w:after="0" w:line="240" w:lineRule="auto"/>
        <w:rPr>
          <w:sz w:val="24"/>
          <w:szCs w:val="24"/>
        </w:rPr>
      </w:pPr>
      <w:r>
        <w:rPr>
          <w:sz w:val="24"/>
          <w:szCs w:val="24"/>
        </w:rPr>
        <w:t>L</w:t>
      </w:r>
      <w:r w:rsidR="004B194B" w:rsidRPr="00177C62">
        <w:rPr>
          <w:sz w:val="24"/>
          <w:szCs w:val="24"/>
        </w:rPr>
        <w:t>earn</w:t>
      </w:r>
      <w:r>
        <w:rPr>
          <w:sz w:val="24"/>
          <w:szCs w:val="24"/>
        </w:rPr>
        <w:t>ing</w:t>
      </w:r>
      <w:r w:rsidR="004B194B" w:rsidRPr="00177C62">
        <w:rPr>
          <w:sz w:val="24"/>
          <w:szCs w:val="24"/>
        </w:rPr>
        <w:t xml:space="preserve"> about the foods </w:t>
      </w:r>
      <w:r>
        <w:rPr>
          <w:sz w:val="24"/>
          <w:szCs w:val="24"/>
        </w:rPr>
        <w:t>children</w:t>
      </w:r>
      <w:r w:rsidR="004B194B" w:rsidRPr="00177C62">
        <w:rPr>
          <w:sz w:val="24"/>
          <w:szCs w:val="24"/>
        </w:rPr>
        <w:t xml:space="preserve"> are eating and </w:t>
      </w:r>
      <w:r>
        <w:rPr>
          <w:sz w:val="24"/>
          <w:szCs w:val="24"/>
        </w:rPr>
        <w:t>cultivating</w:t>
      </w:r>
      <w:r w:rsidR="004B194B" w:rsidRPr="00177C62">
        <w:rPr>
          <w:sz w:val="24"/>
          <w:szCs w:val="24"/>
        </w:rPr>
        <w:t xml:space="preserve"> enjoy</w:t>
      </w:r>
      <w:r>
        <w:rPr>
          <w:sz w:val="24"/>
          <w:szCs w:val="24"/>
        </w:rPr>
        <w:t>ment</w:t>
      </w:r>
      <w:r w:rsidR="004B194B" w:rsidRPr="00177C62">
        <w:rPr>
          <w:sz w:val="24"/>
          <w:szCs w:val="24"/>
        </w:rPr>
        <w:t xml:space="preserve"> and eat</w:t>
      </w:r>
      <w:r>
        <w:rPr>
          <w:sz w:val="24"/>
          <w:szCs w:val="24"/>
        </w:rPr>
        <w:t>ing</w:t>
      </w:r>
      <w:r w:rsidR="004B194B" w:rsidRPr="00177C62">
        <w:rPr>
          <w:sz w:val="24"/>
          <w:szCs w:val="24"/>
        </w:rPr>
        <w:t xml:space="preserve"> healthy food</w:t>
      </w:r>
      <w:r w:rsidR="00177C62">
        <w:rPr>
          <w:sz w:val="24"/>
          <w:szCs w:val="24"/>
        </w:rPr>
        <w:t>.</w:t>
      </w:r>
    </w:p>
    <w:p w14:paraId="3FA8A735" w14:textId="77777777" w:rsidR="004B194B" w:rsidRPr="00177C62" w:rsidRDefault="004B194B" w:rsidP="001C3E43">
      <w:pPr>
        <w:pStyle w:val="ListParagraph"/>
        <w:numPr>
          <w:ilvl w:val="0"/>
          <w:numId w:val="4"/>
        </w:numPr>
        <w:spacing w:after="0" w:line="240" w:lineRule="auto"/>
        <w:rPr>
          <w:sz w:val="24"/>
          <w:szCs w:val="24"/>
        </w:rPr>
      </w:pPr>
      <w:r w:rsidRPr="00177C62">
        <w:rPr>
          <w:sz w:val="24"/>
          <w:szCs w:val="24"/>
        </w:rPr>
        <w:t>Language skills improve as adults and children talk with each other</w:t>
      </w:r>
      <w:r w:rsidR="00177C62">
        <w:rPr>
          <w:sz w:val="24"/>
          <w:szCs w:val="24"/>
        </w:rPr>
        <w:t>.</w:t>
      </w:r>
    </w:p>
    <w:p w14:paraId="44236E60" w14:textId="72DC252C" w:rsidR="004B194B" w:rsidRPr="00177C62" w:rsidRDefault="00765996" w:rsidP="001C3E43">
      <w:pPr>
        <w:pStyle w:val="ListParagraph"/>
        <w:numPr>
          <w:ilvl w:val="0"/>
          <w:numId w:val="4"/>
        </w:numPr>
        <w:spacing w:after="0" w:line="240" w:lineRule="auto"/>
        <w:rPr>
          <w:sz w:val="24"/>
          <w:szCs w:val="24"/>
        </w:rPr>
      </w:pPr>
      <w:r>
        <w:rPr>
          <w:sz w:val="24"/>
          <w:szCs w:val="24"/>
        </w:rPr>
        <w:t>Providing</w:t>
      </w:r>
      <w:r w:rsidR="004B194B" w:rsidRPr="00177C62">
        <w:rPr>
          <w:sz w:val="24"/>
          <w:szCs w:val="24"/>
        </w:rPr>
        <w:t xml:space="preserve"> an opportunity for positive role modeling</w:t>
      </w:r>
      <w:r w:rsidR="00177C62">
        <w:rPr>
          <w:sz w:val="24"/>
          <w:szCs w:val="24"/>
        </w:rPr>
        <w:t>.</w:t>
      </w:r>
    </w:p>
    <w:p w14:paraId="1E4E35B7" w14:textId="77777777" w:rsidR="004B194B" w:rsidRPr="004B194B" w:rsidRDefault="004B194B" w:rsidP="001C3E43">
      <w:pPr>
        <w:spacing w:after="0" w:line="240" w:lineRule="auto"/>
        <w:rPr>
          <w:sz w:val="24"/>
          <w:szCs w:val="24"/>
        </w:rPr>
      </w:pPr>
      <w:r w:rsidRPr="004B194B">
        <w:rPr>
          <w:sz w:val="24"/>
          <w:szCs w:val="24"/>
        </w:rPr>
        <w:t xml:space="preserve"> </w:t>
      </w:r>
    </w:p>
    <w:p w14:paraId="396F62FB" w14:textId="65D9956E" w:rsidR="004B194B" w:rsidRDefault="004B194B" w:rsidP="001C3E43">
      <w:pPr>
        <w:spacing w:after="0" w:line="240" w:lineRule="auto"/>
        <w:rPr>
          <w:sz w:val="24"/>
          <w:szCs w:val="24"/>
        </w:rPr>
      </w:pPr>
      <w:r w:rsidRPr="004B194B">
        <w:rPr>
          <w:sz w:val="24"/>
          <w:szCs w:val="24"/>
        </w:rPr>
        <w:t>ECE programs need support and guidance about how to successfully implement family</w:t>
      </w:r>
      <w:r w:rsidR="00E135C5">
        <w:rPr>
          <w:sz w:val="24"/>
          <w:szCs w:val="24"/>
        </w:rPr>
        <w:t>-style</w:t>
      </w:r>
      <w:r w:rsidRPr="004B194B">
        <w:rPr>
          <w:sz w:val="24"/>
          <w:szCs w:val="24"/>
        </w:rPr>
        <w:t xml:space="preserve"> dining in ways that align with CACFP requirements. </w:t>
      </w:r>
      <w:r w:rsidR="0092208A">
        <w:rPr>
          <w:sz w:val="24"/>
          <w:szCs w:val="24"/>
        </w:rPr>
        <w:t xml:space="preserve"> </w:t>
      </w:r>
      <w:r w:rsidRPr="004B194B">
        <w:rPr>
          <w:sz w:val="24"/>
          <w:szCs w:val="24"/>
        </w:rPr>
        <w:t xml:space="preserve">For example, many providers have concerns about how to ensure adequate and appropriate portion sizes. </w:t>
      </w:r>
      <w:r w:rsidR="0092208A">
        <w:rPr>
          <w:sz w:val="24"/>
          <w:szCs w:val="24"/>
        </w:rPr>
        <w:t xml:space="preserve"> </w:t>
      </w:r>
      <w:r w:rsidRPr="004B194B">
        <w:rPr>
          <w:sz w:val="24"/>
          <w:szCs w:val="24"/>
        </w:rPr>
        <w:t>Many of the p</w:t>
      </w:r>
      <w:r w:rsidR="00E135C5">
        <w:rPr>
          <w:sz w:val="24"/>
          <w:szCs w:val="24"/>
        </w:rPr>
        <w:t>roviders we have worked with</w:t>
      </w:r>
      <w:r w:rsidRPr="004B194B">
        <w:rPr>
          <w:sz w:val="24"/>
          <w:szCs w:val="24"/>
        </w:rPr>
        <w:t xml:space="preserve"> measuring cups and spoons to encourage children </w:t>
      </w:r>
      <w:r w:rsidR="00765996">
        <w:rPr>
          <w:sz w:val="24"/>
          <w:szCs w:val="24"/>
        </w:rPr>
        <w:t xml:space="preserve">to </w:t>
      </w:r>
      <w:r w:rsidRPr="004B194B">
        <w:rPr>
          <w:sz w:val="24"/>
          <w:szCs w:val="24"/>
        </w:rPr>
        <w:t>serv</w:t>
      </w:r>
      <w:r w:rsidR="00765996">
        <w:rPr>
          <w:sz w:val="24"/>
          <w:szCs w:val="24"/>
        </w:rPr>
        <w:t>e</w:t>
      </w:r>
      <w:r w:rsidRPr="004B194B">
        <w:rPr>
          <w:sz w:val="24"/>
          <w:szCs w:val="24"/>
        </w:rPr>
        <w:t xml:space="preserve"> appropriate portion sizes. </w:t>
      </w:r>
      <w:r w:rsidR="0092208A">
        <w:rPr>
          <w:sz w:val="24"/>
          <w:szCs w:val="24"/>
        </w:rPr>
        <w:t xml:space="preserve"> </w:t>
      </w:r>
      <w:r w:rsidR="00EC16BA">
        <w:rPr>
          <w:sz w:val="24"/>
          <w:szCs w:val="24"/>
        </w:rPr>
        <w:t xml:space="preserve">Guidance </w:t>
      </w:r>
      <w:r w:rsidR="00E135C5">
        <w:rPr>
          <w:sz w:val="24"/>
          <w:szCs w:val="24"/>
        </w:rPr>
        <w:t xml:space="preserve">also should </w:t>
      </w:r>
      <w:r w:rsidR="00EC16BA">
        <w:rPr>
          <w:sz w:val="24"/>
          <w:szCs w:val="24"/>
        </w:rPr>
        <w:t xml:space="preserve">be given about having an </w:t>
      </w:r>
      <w:r w:rsidR="00EC16BA" w:rsidRPr="00EC16BA">
        <w:rPr>
          <w:sz w:val="24"/>
          <w:szCs w:val="24"/>
        </w:rPr>
        <w:t>adult present at mealtimes (this means sitting with the children and eatin</w:t>
      </w:r>
      <w:r w:rsidR="00EC16BA">
        <w:rPr>
          <w:sz w:val="24"/>
          <w:szCs w:val="24"/>
        </w:rPr>
        <w:t>g the same foods as the children). This practice is important for</w:t>
      </w:r>
      <w:r w:rsidR="00EC16BA" w:rsidRPr="00EC16BA">
        <w:rPr>
          <w:sz w:val="24"/>
          <w:szCs w:val="24"/>
        </w:rPr>
        <w:t xml:space="preserve"> adult modeling, safety for children, and support of social and </w:t>
      </w:r>
      <w:r w:rsidR="00EC16BA">
        <w:rPr>
          <w:sz w:val="24"/>
          <w:szCs w:val="24"/>
        </w:rPr>
        <w:t>physical development</w:t>
      </w:r>
      <w:r w:rsidR="00EC16BA" w:rsidRPr="00EC16BA">
        <w:rPr>
          <w:sz w:val="24"/>
          <w:szCs w:val="24"/>
        </w:rPr>
        <w:t>.</w:t>
      </w:r>
      <w:r w:rsidR="00EC16BA">
        <w:rPr>
          <w:sz w:val="24"/>
          <w:szCs w:val="24"/>
        </w:rPr>
        <w:t xml:space="preserve"> </w:t>
      </w:r>
      <w:r w:rsidRPr="004B194B">
        <w:rPr>
          <w:sz w:val="24"/>
          <w:szCs w:val="24"/>
        </w:rPr>
        <w:t>Many resources t</w:t>
      </w:r>
      <w:r w:rsidR="00C10651">
        <w:rPr>
          <w:sz w:val="24"/>
          <w:szCs w:val="24"/>
        </w:rPr>
        <w:t>o successfully implement family-</w:t>
      </w:r>
      <w:r w:rsidRPr="004B194B">
        <w:rPr>
          <w:sz w:val="24"/>
          <w:szCs w:val="24"/>
        </w:rPr>
        <w:t>style dining are available on the Let’s Move! Child Care website</w:t>
      </w:r>
      <w:r w:rsidR="00765996">
        <w:rPr>
          <w:sz w:val="24"/>
          <w:szCs w:val="24"/>
        </w:rPr>
        <w:t xml:space="preserve">, including </w:t>
      </w:r>
      <w:r w:rsidRPr="004B194B">
        <w:rPr>
          <w:sz w:val="24"/>
          <w:szCs w:val="24"/>
        </w:rPr>
        <w:t>videos, tip sheets, testimony from programs</w:t>
      </w:r>
      <w:r w:rsidR="00C10651">
        <w:rPr>
          <w:sz w:val="24"/>
          <w:szCs w:val="24"/>
        </w:rPr>
        <w:t>,</w:t>
      </w:r>
      <w:r w:rsidRPr="004B194B">
        <w:rPr>
          <w:sz w:val="24"/>
          <w:szCs w:val="24"/>
        </w:rPr>
        <w:t xml:space="preserve"> and more. </w:t>
      </w:r>
    </w:p>
    <w:p w14:paraId="01350530" w14:textId="77777777" w:rsidR="00FB6FCD" w:rsidRDefault="00FB6FCD" w:rsidP="001C3E43">
      <w:pPr>
        <w:spacing w:after="0" w:line="240" w:lineRule="auto"/>
        <w:rPr>
          <w:sz w:val="24"/>
          <w:szCs w:val="24"/>
        </w:rPr>
      </w:pPr>
    </w:p>
    <w:p w14:paraId="6A14B948" w14:textId="77777777" w:rsidR="00FB6FCD" w:rsidRDefault="00FB6FCD" w:rsidP="001C3E43">
      <w:pPr>
        <w:spacing w:after="0" w:line="240" w:lineRule="auto"/>
        <w:rPr>
          <w:b/>
          <w:sz w:val="24"/>
          <w:szCs w:val="24"/>
        </w:rPr>
      </w:pPr>
      <w:r>
        <w:rPr>
          <w:b/>
          <w:sz w:val="24"/>
          <w:szCs w:val="24"/>
        </w:rPr>
        <w:t>Additional Recommendations</w:t>
      </w:r>
    </w:p>
    <w:p w14:paraId="3814FDDD" w14:textId="77777777" w:rsidR="00FB6FCD" w:rsidRDefault="00FB6FCD" w:rsidP="001C3E43">
      <w:pPr>
        <w:spacing w:after="0" w:line="240" w:lineRule="auto"/>
        <w:rPr>
          <w:b/>
          <w:sz w:val="24"/>
          <w:szCs w:val="24"/>
        </w:rPr>
      </w:pPr>
    </w:p>
    <w:p w14:paraId="185BCC26" w14:textId="77777777" w:rsidR="0078126E" w:rsidRPr="002157B5" w:rsidRDefault="0078126E" w:rsidP="001C3E43">
      <w:pPr>
        <w:spacing w:after="0" w:line="240" w:lineRule="auto"/>
        <w:rPr>
          <w:sz w:val="24"/>
          <w:szCs w:val="24"/>
          <w:u w:val="single"/>
        </w:rPr>
      </w:pPr>
      <w:r w:rsidRPr="002157B5">
        <w:rPr>
          <w:sz w:val="24"/>
          <w:szCs w:val="24"/>
          <w:u w:val="single"/>
        </w:rPr>
        <w:t>Training and Technical Assistance</w:t>
      </w:r>
    </w:p>
    <w:p w14:paraId="0AFC79D0" w14:textId="045E617A" w:rsidR="009E2D54" w:rsidRDefault="0078126E" w:rsidP="009E2D54">
      <w:pPr>
        <w:spacing w:after="0" w:line="240" w:lineRule="auto"/>
        <w:rPr>
          <w:rFonts w:cs="Times New Roman"/>
          <w:color w:val="000000"/>
          <w:sz w:val="24"/>
          <w:szCs w:val="24"/>
        </w:rPr>
      </w:pPr>
      <w:r w:rsidRPr="0078126E">
        <w:rPr>
          <w:rFonts w:cs="Times New Roman"/>
          <w:color w:val="000000"/>
          <w:sz w:val="24"/>
          <w:szCs w:val="24"/>
        </w:rPr>
        <w:t>As part of the Healthy</w:t>
      </w:r>
      <w:r>
        <w:rPr>
          <w:rFonts w:cs="Times New Roman"/>
          <w:color w:val="000000"/>
          <w:sz w:val="24"/>
          <w:szCs w:val="24"/>
        </w:rPr>
        <w:t xml:space="preserve">, Hunger-Free Kids Act, </w:t>
      </w:r>
      <w:r w:rsidRPr="0078126E">
        <w:rPr>
          <w:rFonts w:cs="Times New Roman"/>
          <w:color w:val="000000"/>
          <w:sz w:val="24"/>
          <w:szCs w:val="24"/>
        </w:rPr>
        <w:t xml:space="preserve">USDA is required to provide technical assistance to participating CACFP centers in complying with the </w:t>
      </w:r>
      <w:r>
        <w:rPr>
          <w:rFonts w:cs="Times New Roman"/>
          <w:color w:val="000000"/>
          <w:sz w:val="24"/>
          <w:szCs w:val="24"/>
        </w:rPr>
        <w:t xml:space="preserve">new standards. </w:t>
      </w:r>
      <w:r w:rsidR="0092208A">
        <w:rPr>
          <w:rFonts w:cs="Times New Roman"/>
          <w:color w:val="000000"/>
          <w:sz w:val="24"/>
          <w:szCs w:val="24"/>
        </w:rPr>
        <w:t xml:space="preserve"> </w:t>
      </w:r>
      <w:r w:rsidR="00532136">
        <w:rPr>
          <w:rFonts w:cs="Times New Roman"/>
          <w:color w:val="000000"/>
          <w:sz w:val="24"/>
          <w:szCs w:val="24"/>
        </w:rPr>
        <w:t xml:space="preserve">We thank USDA for the time and resources </w:t>
      </w:r>
      <w:r w:rsidR="00F7743C">
        <w:rPr>
          <w:rFonts w:cs="Times New Roman"/>
          <w:color w:val="000000"/>
          <w:sz w:val="24"/>
          <w:szCs w:val="24"/>
        </w:rPr>
        <w:t>the</w:t>
      </w:r>
      <w:r w:rsidR="00C73CB1">
        <w:rPr>
          <w:rFonts w:cs="Times New Roman"/>
          <w:color w:val="000000"/>
          <w:sz w:val="24"/>
          <w:szCs w:val="24"/>
        </w:rPr>
        <w:t xml:space="preserve"> A</w:t>
      </w:r>
      <w:r w:rsidR="00532136">
        <w:rPr>
          <w:rFonts w:cs="Times New Roman"/>
          <w:color w:val="000000"/>
          <w:sz w:val="24"/>
          <w:szCs w:val="24"/>
        </w:rPr>
        <w:t xml:space="preserve">gency has dedicated to CACFP technical assistance to date. </w:t>
      </w:r>
      <w:r w:rsidR="0092208A">
        <w:rPr>
          <w:rFonts w:cs="Times New Roman"/>
          <w:color w:val="000000"/>
          <w:sz w:val="24"/>
          <w:szCs w:val="24"/>
        </w:rPr>
        <w:t xml:space="preserve"> </w:t>
      </w:r>
      <w:r>
        <w:rPr>
          <w:rFonts w:cs="Times New Roman"/>
          <w:color w:val="000000"/>
          <w:sz w:val="24"/>
          <w:szCs w:val="24"/>
        </w:rPr>
        <w:t xml:space="preserve">We encourage </w:t>
      </w:r>
      <w:r w:rsidRPr="0078126E">
        <w:rPr>
          <w:rFonts w:cs="Times New Roman"/>
          <w:color w:val="000000"/>
          <w:sz w:val="24"/>
          <w:szCs w:val="24"/>
        </w:rPr>
        <w:t>USDA to release its final needs assessment research report, pertinent resources</w:t>
      </w:r>
      <w:r>
        <w:rPr>
          <w:rFonts w:cs="Times New Roman"/>
          <w:color w:val="000000"/>
          <w:sz w:val="24"/>
          <w:szCs w:val="24"/>
        </w:rPr>
        <w:t>,</w:t>
      </w:r>
      <w:r w:rsidRPr="0078126E">
        <w:rPr>
          <w:rFonts w:cs="Times New Roman"/>
          <w:color w:val="000000"/>
          <w:sz w:val="24"/>
          <w:szCs w:val="24"/>
        </w:rPr>
        <w:t xml:space="preserve"> and guidance materials to </w:t>
      </w:r>
      <w:r w:rsidR="00765996">
        <w:rPr>
          <w:rFonts w:cs="Times New Roman"/>
          <w:color w:val="000000"/>
          <w:sz w:val="24"/>
          <w:szCs w:val="24"/>
        </w:rPr>
        <w:t xml:space="preserve">continue to </w:t>
      </w:r>
      <w:r w:rsidRPr="0078126E">
        <w:rPr>
          <w:rFonts w:cs="Times New Roman"/>
          <w:color w:val="000000"/>
          <w:sz w:val="24"/>
          <w:szCs w:val="24"/>
        </w:rPr>
        <w:t>educate c</w:t>
      </w:r>
      <w:r>
        <w:rPr>
          <w:rFonts w:cs="Times New Roman"/>
          <w:color w:val="000000"/>
          <w:sz w:val="24"/>
          <w:szCs w:val="24"/>
        </w:rPr>
        <w:t xml:space="preserve">enters in a meaningful way. </w:t>
      </w:r>
      <w:r w:rsidR="0092208A">
        <w:rPr>
          <w:rFonts w:cs="Times New Roman"/>
          <w:color w:val="000000"/>
          <w:sz w:val="24"/>
          <w:szCs w:val="24"/>
        </w:rPr>
        <w:t xml:space="preserve"> </w:t>
      </w:r>
      <w:r w:rsidRPr="0078126E">
        <w:rPr>
          <w:rFonts w:cs="Times New Roman"/>
          <w:color w:val="000000"/>
          <w:sz w:val="24"/>
          <w:szCs w:val="24"/>
        </w:rPr>
        <w:t xml:space="preserve">USDA should develop resources </w:t>
      </w:r>
      <w:r w:rsidR="00765996">
        <w:rPr>
          <w:rFonts w:cs="Times New Roman"/>
          <w:color w:val="000000"/>
          <w:sz w:val="24"/>
          <w:szCs w:val="24"/>
        </w:rPr>
        <w:t xml:space="preserve">that address issues </w:t>
      </w:r>
      <w:r w:rsidRPr="0078126E">
        <w:rPr>
          <w:rFonts w:cs="Times New Roman"/>
          <w:color w:val="000000"/>
          <w:sz w:val="24"/>
          <w:szCs w:val="24"/>
        </w:rPr>
        <w:t>such as foods that qualify for reimbursement under specific components</w:t>
      </w:r>
      <w:r w:rsidR="00765996">
        <w:rPr>
          <w:rFonts w:cs="Times New Roman"/>
          <w:color w:val="000000"/>
          <w:sz w:val="24"/>
          <w:szCs w:val="24"/>
        </w:rPr>
        <w:t xml:space="preserve"> (such as whole grain)</w:t>
      </w:r>
      <w:r w:rsidRPr="0078126E">
        <w:rPr>
          <w:rFonts w:cs="Times New Roman"/>
          <w:color w:val="000000"/>
          <w:sz w:val="24"/>
          <w:szCs w:val="24"/>
        </w:rPr>
        <w:t xml:space="preserve">; food purchasing and preparation; menu planning and recipes; recordkeeping; and updates to the Food Buying Guide and the “Nutrition and Wellness </w:t>
      </w:r>
      <w:r w:rsidRPr="0078126E">
        <w:rPr>
          <w:rFonts w:cs="Times New Roman"/>
          <w:color w:val="000000"/>
          <w:sz w:val="24"/>
          <w:szCs w:val="24"/>
        </w:rPr>
        <w:lastRenderedPageBreak/>
        <w:t>Tips for Young Childre</w:t>
      </w:r>
      <w:r w:rsidR="00C10651">
        <w:rPr>
          <w:rFonts w:cs="Times New Roman"/>
          <w:color w:val="000000"/>
          <w:sz w:val="24"/>
          <w:szCs w:val="24"/>
        </w:rPr>
        <w:t>n: Provider Handbook for CACFP.”</w:t>
      </w:r>
      <w:r w:rsidRPr="0078126E">
        <w:rPr>
          <w:rFonts w:cs="Times New Roman"/>
          <w:color w:val="000000"/>
          <w:sz w:val="24"/>
          <w:szCs w:val="24"/>
        </w:rPr>
        <w:t xml:space="preserve">  </w:t>
      </w:r>
      <w:r w:rsidR="003756C4">
        <w:rPr>
          <w:rFonts w:cs="Times New Roman"/>
          <w:color w:val="000000"/>
          <w:sz w:val="24"/>
          <w:szCs w:val="24"/>
        </w:rPr>
        <w:t xml:space="preserve">In particular, there will </w:t>
      </w:r>
      <w:r w:rsidR="00F7743C">
        <w:rPr>
          <w:rFonts w:cs="Times New Roman"/>
          <w:color w:val="000000"/>
          <w:sz w:val="24"/>
          <w:szCs w:val="24"/>
        </w:rPr>
        <w:t>need</w:t>
      </w:r>
      <w:r w:rsidR="003756C4">
        <w:rPr>
          <w:rFonts w:cs="Times New Roman"/>
          <w:color w:val="000000"/>
          <w:sz w:val="24"/>
          <w:szCs w:val="24"/>
        </w:rPr>
        <w:t xml:space="preserve"> to be technical assistance and training related to flavored</w:t>
      </w:r>
      <w:r w:rsidR="00F7743C">
        <w:rPr>
          <w:rFonts w:cs="Times New Roman"/>
          <w:color w:val="000000"/>
          <w:sz w:val="24"/>
          <w:szCs w:val="24"/>
        </w:rPr>
        <w:t xml:space="preserve"> milk, yogurt</w:t>
      </w:r>
      <w:r w:rsidR="003756C4">
        <w:rPr>
          <w:rFonts w:cs="Times New Roman"/>
          <w:color w:val="000000"/>
          <w:sz w:val="24"/>
          <w:szCs w:val="24"/>
        </w:rPr>
        <w:t xml:space="preserve">, frying, whole grains, physical activity, </w:t>
      </w:r>
      <w:r w:rsidR="008F3346">
        <w:rPr>
          <w:rFonts w:cs="Times New Roman"/>
          <w:color w:val="000000"/>
          <w:sz w:val="24"/>
          <w:szCs w:val="24"/>
        </w:rPr>
        <w:t xml:space="preserve">sugar-sweetened beverages, </w:t>
      </w:r>
      <w:r w:rsidR="00C10651">
        <w:rPr>
          <w:rFonts w:cs="Times New Roman"/>
          <w:color w:val="000000"/>
          <w:sz w:val="24"/>
          <w:szCs w:val="24"/>
        </w:rPr>
        <w:t xml:space="preserve">accessible drinking water, </w:t>
      </w:r>
      <w:r w:rsidR="003756C4">
        <w:rPr>
          <w:rFonts w:cs="Times New Roman"/>
          <w:color w:val="000000"/>
          <w:sz w:val="24"/>
          <w:szCs w:val="24"/>
        </w:rPr>
        <w:t>and family-style eating.</w:t>
      </w:r>
      <w:r w:rsidR="00F7743C">
        <w:rPr>
          <w:rFonts w:cs="Times New Roman"/>
          <w:color w:val="000000"/>
          <w:sz w:val="24"/>
          <w:szCs w:val="24"/>
        </w:rPr>
        <w:t xml:space="preserve"> </w:t>
      </w:r>
      <w:r w:rsidR="003756C4">
        <w:rPr>
          <w:rFonts w:cs="Times New Roman"/>
          <w:color w:val="000000"/>
          <w:sz w:val="24"/>
          <w:szCs w:val="24"/>
        </w:rPr>
        <w:t xml:space="preserve"> </w:t>
      </w:r>
      <w:r w:rsidRPr="0078126E">
        <w:rPr>
          <w:rFonts w:cs="Times New Roman"/>
          <w:color w:val="000000"/>
          <w:sz w:val="24"/>
          <w:szCs w:val="24"/>
        </w:rPr>
        <w:t>Materials should be easy to understand for a general lay audience and encourage solutions that promote provider and sponsor collaboration with grocers, parents,</w:t>
      </w:r>
      <w:r w:rsidR="00765996" w:rsidRPr="00765996">
        <w:rPr>
          <w:rFonts w:cs="Times New Roman"/>
          <w:color w:val="000000"/>
          <w:sz w:val="24"/>
          <w:szCs w:val="24"/>
        </w:rPr>
        <w:t xml:space="preserve"> </w:t>
      </w:r>
      <w:r w:rsidR="00765996" w:rsidRPr="0078126E">
        <w:rPr>
          <w:rFonts w:cs="Times New Roman"/>
          <w:color w:val="000000"/>
          <w:sz w:val="24"/>
          <w:szCs w:val="24"/>
        </w:rPr>
        <w:t>local farms,</w:t>
      </w:r>
      <w:r w:rsidR="00765996">
        <w:rPr>
          <w:rStyle w:val="FootnoteReference"/>
          <w:rFonts w:cs="Times New Roman"/>
          <w:color w:val="000000"/>
          <w:sz w:val="24"/>
          <w:szCs w:val="24"/>
        </w:rPr>
        <w:footnoteReference w:id="58"/>
      </w:r>
      <w:r w:rsidRPr="0078126E">
        <w:rPr>
          <w:rFonts w:cs="Times New Roman"/>
          <w:color w:val="000000"/>
          <w:sz w:val="24"/>
          <w:szCs w:val="24"/>
        </w:rPr>
        <w:t xml:space="preserve"> </w:t>
      </w:r>
      <w:r w:rsidR="00765996">
        <w:rPr>
          <w:rFonts w:cs="Times New Roman"/>
          <w:color w:val="000000"/>
          <w:sz w:val="24"/>
          <w:szCs w:val="24"/>
        </w:rPr>
        <w:t xml:space="preserve">and </w:t>
      </w:r>
      <w:r w:rsidRPr="0078126E">
        <w:rPr>
          <w:rFonts w:cs="Times New Roman"/>
          <w:color w:val="000000"/>
          <w:sz w:val="24"/>
          <w:szCs w:val="24"/>
        </w:rPr>
        <w:t xml:space="preserve">others.   </w:t>
      </w:r>
      <w:r w:rsidRPr="0078126E">
        <w:rPr>
          <w:rFonts w:cs="Times New Roman"/>
          <w:color w:val="000000"/>
          <w:sz w:val="24"/>
          <w:szCs w:val="24"/>
        </w:rPr>
        <w:br/>
        <w:t xml:space="preserve">  </w:t>
      </w:r>
      <w:r w:rsidRPr="0078126E">
        <w:rPr>
          <w:rFonts w:cs="Times New Roman"/>
          <w:color w:val="000000"/>
          <w:sz w:val="24"/>
          <w:szCs w:val="24"/>
        </w:rPr>
        <w:br/>
        <w:t xml:space="preserve">Anecdotally, there are different challenges that home-based child care sites face in comparison to center-based sites. </w:t>
      </w:r>
      <w:r w:rsidR="00F7743C">
        <w:rPr>
          <w:rFonts w:cs="Times New Roman"/>
          <w:color w:val="000000"/>
          <w:sz w:val="24"/>
          <w:szCs w:val="24"/>
        </w:rPr>
        <w:t xml:space="preserve"> </w:t>
      </w:r>
      <w:r w:rsidRPr="0078126E">
        <w:rPr>
          <w:rFonts w:cs="Times New Roman"/>
          <w:color w:val="000000"/>
          <w:sz w:val="24"/>
          <w:szCs w:val="24"/>
        </w:rPr>
        <w:t xml:space="preserve">However, we urge USDA to keep the standards consistent across sites to ensure children are receiving nutritious meals and snacks regardless of the early care and education setting. </w:t>
      </w:r>
      <w:r w:rsidR="00F7743C">
        <w:rPr>
          <w:rFonts w:cs="Times New Roman"/>
          <w:color w:val="000000"/>
          <w:sz w:val="24"/>
          <w:szCs w:val="24"/>
        </w:rPr>
        <w:t xml:space="preserve"> </w:t>
      </w:r>
      <w:r w:rsidRPr="0078126E">
        <w:rPr>
          <w:rFonts w:cs="Times New Roman"/>
          <w:color w:val="000000"/>
          <w:sz w:val="24"/>
          <w:szCs w:val="24"/>
        </w:rPr>
        <w:t>Home-based sites may require additional technical assistance and training to support their efforts.  Sponsors, too, mus</w:t>
      </w:r>
      <w:r>
        <w:rPr>
          <w:rFonts w:cs="Times New Roman"/>
          <w:color w:val="000000"/>
          <w:sz w:val="24"/>
          <w:szCs w:val="24"/>
        </w:rPr>
        <w:t xml:space="preserve">t be adequately prepared by </w:t>
      </w:r>
      <w:r w:rsidRPr="0078126E">
        <w:rPr>
          <w:rFonts w:cs="Times New Roman"/>
          <w:color w:val="000000"/>
          <w:sz w:val="24"/>
          <w:szCs w:val="24"/>
        </w:rPr>
        <w:t xml:space="preserve">USDA to answer concerns about the implementation timeline and state agency monitoring. </w:t>
      </w:r>
      <w:r w:rsidRPr="0078126E">
        <w:rPr>
          <w:rFonts w:cs="Times New Roman"/>
          <w:color w:val="000000"/>
          <w:sz w:val="24"/>
          <w:szCs w:val="24"/>
        </w:rPr>
        <w:br/>
        <w:t xml:space="preserve">  </w:t>
      </w:r>
      <w:r w:rsidRPr="0078126E">
        <w:rPr>
          <w:rFonts w:cs="Times New Roman"/>
          <w:color w:val="000000"/>
          <w:sz w:val="24"/>
          <w:szCs w:val="24"/>
        </w:rPr>
        <w:br/>
        <w:t xml:space="preserve">We recommend USDA include an appendix or chart that compares new meal component requirements, former meal component requirements, and recommended best practices. </w:t>
      </w:r>
      <w:r w:rsidR="00F7743C">
        <w:rPr>
          <w:rFonts w:cs="Times New Roman"/>
          <w:color w:val="000000"/>
          <w:sz w:val="24"/>
          <w:szCs w:val="24"/>
        </w:rPr>
        <w:t xml:space="preserve"> </w:t>
      </w:r>
      <w:r w:rsidRPr="0078126E">
        <w:rPr>
          <w:rFonts w:cs="Times New Roman"/>
          <w:color w:val="000000"/>
          <w:sz w:val="24"/>
          <w:szCs w:val="24"/>
        </w:rPr>
        <w:t>This type of quick reference guide would help providers understand not only minimum requirements, but areas to strive for additional</w:t>
      </w:r>
      <w:r>
        <w:rPr>
          <w:rFonts w:cs="Times New Roman"/>
          <w:color w:val="000000"/>
          <w:sz w:val="24"/>
          <w:szCs w:val="24"/>
        </w:rPr>
        <w:t xml:space="preserve"> improvement.   </w:t>
      </w:r>
      <w:r>
        <w:rPr>
          <w:rFonts w:cs="Times New Roman"/>
          <w:color w:val="000000"/>
          <w:sz w:val="24"/>
          <w:szCs w:val="24"/>
        </w:rPr>
        <w:br/>
        <w:t xml:space="preserve">  </w:t>
      </w:r>
      <w:r>
        <w:rPr>
          <w:rFonts w:cs="Times New Roman"/>
          <w:color w:val="000000"/>
          <w:sz w:val="24"/>
          <w:szCs w:val="24"/>
        </w:rPr>
        <w:br/>
      </w:r>
      <w:r w:rsidR="00556298" w:rsidRPr="00CE5429">
        <w:rPr>
          <w:sz w:val="24"/>
          <w:szCs w:val="24"/>
        </w:rPr>
        <w:t xml:space="preserve">On the state and local level, CACFP should </w:t>
      </w:r>
      <w:r w:rsidR="00556298">
        <w:rPr>
          <w:sz w:val="24"/>
          <w:szCs w:val="24"/>
        </w:rPr>
        <w:t xml:space="preserve">connect </w:t>
      </w:r>
      <w:r w:rsidR="00556298" w:rsidRPr="00CE5429">
        <w:rPr>
          <w:sz w:val="24"/>
          <w:szCs w:val="24"/>
        </w:rPr>
        <w:t>to the expertise, materials</w:t>
      </w:r>
      <w:r w:rsidR="00642A64">
        <w:rPr>
          <w:sz w:val="24"/>
          <w:szCs w:val="24"/>
        </w:rPr>
        <w:t>,</w:t>
      </w:r>
      <w:r w:rsidR="00556298" w:rsidRPr="00CE5429">
        <w:rPr>
          <w:sz w:val="24"/>
          <w:szCs w:val="24"/>
        </w:rPr>
        <w:t xml:space="preserve"> and training capacity of the Academy of Nutrition and D</w:t>
      </w:r>
      <w:r w:rsidR="00135BB5">
        <w:rPr>
          <w:sz w:val="24"/>
          <w:szCs w:val="24"/>
        </w:rPr>
        <w:t>ietetics</w:t>
      </w:r>
      <w:r w:rsidR="00556298" w:rsidRPr="00CE5429">
        <w:rPr>
          <w:sz w:val="24"/>
          <w:szCs w:val="24"/>
        </w:rPr>
        <w:t xml:space="preserve"> including </w:t>
      </w:r>
      <w:r w:rsidR="00135BB5">
        <w:rPr>
          <w:sz w:val="24"/>
          <w:szCs w:val="24"/>
        </w:rPr>
        <w:t>professionals</w:t>
      </w:r>
      <w:r w:rsidR="00556298" w:rsidRPr="00CE5429">
        <w:rPr>
          <w:sz w:val="24"/>
          <w:szCs w:val="24"/>
        </w:rPr>
        <w:t xml:space="preserve"> currently assisting Head Start centers with their menus, SNAP-Ed programs and educators, Public Health Departments’ obesity </w:t>
      </w:r>
      <w:r w:rsidR="00135BB5">
        <w:rPr>
          <w:sz w:val="24"/>
          <w:szCs w:val="24"/>
        </w:rPr>
        <w:t>initiatives</w:t>
      </w:r>
      <w:r w:rsidR="00556298" w:rsidRPr="00CE5429">
        <w:rPr>
          <w:sz w:val="24"/>
          <w:szCs w:val="24"/>
        </w:rPr>
        <w:t xml:space="preserve">, WIC </w:t>
      </w:r>
      <w:r w:rsidR="00135BB5">
        <w:rPr>
          <w:sz w:val="24"/>
          <w:szCs w:val="24"/>
        </w:rPr>
        <w:t xml:space="preserve">offices, </w:t>
      </w:r>
      <w:r w:rsidR="00556298" w:rsidRPr="00CE5429">
        <w:rPr>
          <w:sz w:val="24"/>
          <w:szCs w:val="24"/>
        </w:rPr>
        <w:t>the American Heart Association</w:t>
      </w:r>
      <w:r w:rsidR="00135BB5">
        <w:rPr>
          <w:sz w:val="24"/>
          <w:szCs w:val="24"/>
        </w:rPr>
        <w:t>, and Nemours</w:t>
      </w:r>
      <w:r w:rsidR="00556298" w:rsidRPr="00CE5429">
        <w:rPr>
          <w:sz w:val="24"/>
          <w:szCs w:val="24"/>
        </w:rPr>
        <w:t>.</w:t>
      </w:r>
    </w:p>
    <w:p w14:paraId="6F0BEB03" w14:textId="3B9832B3" w:rsidR="009E2D54" w:rsidRDefault="009E2D54" w:rsidP="001C3E43">
      <w:pPr>
        <w:spacing w:after="0" w:line="240" w:lineRule="auto"/>
        <w:rPr>
          <w:rFonts w:ascii="Times New Roman" w:hAnsi="Times New Roman" w:cs="Times New Roman"/>
          <w:color w:val="000000"/>
          <w:sz w:val="24"/>
          <w:szCs w:val="24"/>
        </w:rPr>
      </w:pPr>
    </w:p>
    <w:p w14:paraId="532C0335" w14:textId="45DB4DD3" w:rsidR="009E2D54" w:rsidRPr="009E2D54" w:rsidRDefault="009E2D54" w:rsidP="009E2D54">
      <w:pPr>
        <w:spacing w:after="0" w:line="240" w:lineRule="auto"/>
        <w:rPr>
          <w:rFonts w:cs="Times New Roman"/>
          <w:color w:val="000000"/>
          <w:sz w:val="24"/>
          <w:szCs w:val="24"/>
        </w:rPr>
      </w:pPr>
      <w:r w:rsidRPr="009E2D54">
        <w:rPr>
          <w:rFonts w:cs="Times New Roman"/>
          <w:color w:val="000000"/>
          <w:sz w:val="24"/>
          <w:szCs w:val="24"/>
        </w:rPr>
        <w:t xml:space="preserve">Implementation of the </w:t>
      </w:r>
      <w:r>
        <w:rPr>
          <w:rFonts w:cs="Times New Roman"/>
          <w:color w:val="000000"/>
          <w:sz w:val="24"/>
          <w:szCs w:val="24"/>
        </w:rPr>
        <w:t>CACFP final</w:t>
      </w:r>
      <w:r w:rsidRPr="009E2D54">
        <w:rPr>
          <w:rFonts w:cs="Times New Roman"/>
          <w:color w:val="000000"/>
          <w:sz w:val="24"/>
          <w:szCs w:val="24"/>
        </w:rPr>
        <w:t xml:space="preserve"> rule will require ample lead time, phased-in changes, and grace periods. Implementation and administration of this new rule will be resource-intensive. </w:t>
      </w:r>
    </w:p>
    <w:p w14:paraId="5A83DC79" w14:textId="33CE4097" w:rsidR="009E2D54" w:rsidRPr="009E2D54" w:rsidRDefault="009E2D54" w:rsidP="009E2D54">
      <w:pPr>
        <w:spacing w:after="0" w:line="240" w:lineRule="auto"/>
        <w:rPr>
          <w:rFonts w:cs="Times New Roman"/>
          <w:color w:val="000000"/>
          <w:sz w:val="24"/>
          <w:szCs w:val="24"/>
        </w:rPr>
      </w:pPr>
      <w:r w:rsidRPr="009E2D54">
        <w:rPr>
          <w:rFonts w:cs="Times New Roman"/>
          <w:color w:val="000000"/>
          <w:sz w:val="24"/>
          <w:szCs w:val="24"/>
        </w:rPr>
        <w:t xml:space="preserve">It is important to use strategies that will make implementation of these regulations as successful as possible. It is helpful to use strategies that take into account the time needed for providers to learn about and implement the new CACFP meal pattern and address the challenges that providers may encounter. Strategic implementation </w:t>
      </w:r>
      <w:r w:rsidR="000A35E1">
        <w:rPr>
          <w:rFonts w:cs="Times New Roman"/>
          <w:color w:val="000000"/>
          <w:sz w:val="24"/>
          <w:szCs w:val="24"/>
        </w:rPr>
        <w:t>including</w:t>
      </w:r>
      <w:r>
        <w:rPr>
          <w:rFonts w:cs="Times New Roman"/>
          <w:color w:val="000000"/>
          <w:sz w:val="24"/>
          <w:szCs w:val="24"/>
        </w:rPr>
        <w:t xml:space="preserve"> strong technical assistance and training support </w:t>
      </w:r>
      <w:r w:rsidRPr="009E2D54">
        <w:rPr>
          <w:rFonts w:cs="Times New Roman"/>
          <w:color w:val="000000"/>
          <w:sz w:val="24"/>
          <w:szCs w:val="24"/>
        </w:rPr>
        <w:t>will help sustain the participation of child care centers, family child care home providers</w:t>
      </w:r>
      <w:r w:rsidR="000A35E1">
        <w:rPr>
          <w:rFonts w:cs="Times New Roman"/>
          <w:color w:val="000000"/>
          <w:sz w:val="24"/>
          <w:szCs w:val="24"/>
        </w:rPr>
        <w:t>,</w:t>
      </w:r>
      <w:r w:rsidRPr="009E2D54">
        <w:rPr>
          <w:rFonts w:cs="Times New Roman"/>
          <w:color w:val="000000"/>
          <w:sz w:val="24"/>
          <w:szCs w:val="24"/>
        </w:rPr>
        <w:t xml:space="preserve"> and afterschool programs in CACFP. </w:t>
      </w:r>
      <w:r w:rsidR="000A35E1">
        <w:rPr>
          <w:rFonts w:cs="Times New Roman"/>
          <w:color w:val="000000"/>
          <w:sz w:val="24"/>
          <w:szCs w:val="24"/>
        </w:rPr>
        <w:t>We</w:t>
      </w:r>
      <w:r w:rsidRPr="009E2D54">
        <w:rPr>
          <w:rFonts w:cs="Times New Roman"/>
          <w:color w:val="000000"/>
          <w:sz w:val="24"/>
          <w:szCs w:val="24"/>
        </w:rPr>
        <w:t xml:space="preserve"> recommend that implementation occur in phases. This will help </w:t>
      </w:r>
      <w:r w:rsidR="000A35E1">
        <w:rPr>
          <w:rFonts w:cs="Times New Roman"/>
          <w:color w:val="000000"/>
          <w:sz w:val="24"/>
          <w:szCs w:val="24"/>
        </w:rPr>
        <w:t xml:space="preserve">to </w:t>
      </w:r>
      <w:r w:rsidRPr="009E2D54">
        <w:rPr>
          <w:rFonts w:cs="Times New Roman"/>
          <w:color w:val="000000"/>
          <w:sz w:val="24"/>
          <w:szCs w:val="24"/>
        </w:rPr>
        <w:t xml:space="preserve">ensure that there is enough time for providers to be trained and that providers will not be overburdened by the introduction of too many changes simultaneously. </w:t>
      </w:r>
      <w:r w:rsidR="000A35E1">
        <w:rPr>
          <w:rFonts w:cs="Times New Roman"/>
          <w:color w:val="000000"/>
          <w:sz w:val="24"/>
          <w:szCs w:val="24"/>
        </w:rPr>
        <w:t xml:space="preserve">We </w:t>
      </w:r>
      <w:r w:rsidRPr="009E2D54">
        <w:rPr>
          <w:rFonts w:cs="Times New Roman"/>
          <w:color w:val="000000"/>
          <w:sz w:val="24"/>
          <w:szCs w:val="24"/>
        </w:rPr>
        <w:t>recommend including a learning or grace period between training and enforcement of the regulations. This will help ensure that providers have time to thoroughly learn and implement the meal pattern standards before they are enforced.</w:t>
      </w:r>
    </w:p>
    <w:p w14:paraId="0AA3D947" w14:textId="77777777" w:rsidR="0078126E" w:rsidRPr="0078126E" w:rsidRDefault="0078126E" w:rsidP="001C3E43">
      <w:pPr>
        <w:spacing w:after="0" w:line="240" w:lineRule="auto"/>
        <w:rPr>
          <w:sz w:val="24"/>
          <w:szCs w:val="24"/>
        </w:rPr>
      </w:pPr>
    </w:p>
    <w:p w14:paraId="4AD3224E" w14:textId="77777777" w:rsidR="001D481A" w:rsidRPr="002157B5" w:rsidRDefault="001D481A" w:rsidP="001C3E43">
      <w:pPr>
        <w:spacing w:after="0" w:line="240" w:lineRule="auto"/>
        <w:rPr>
          <w:sz w:val="24"/>
          <w:szCs w:val="24"/>
          <w:u w:val="single"/>
        </w:rPr>
      </w:pPr>
      <w:r w:rsidRPr="002157B5">
        <w:rPr>
          <w:sz w:val="24"/>
          <w:szCs w:val="24"/>
          <w:u w:val="single"/>
        </w:rPr>
        <w:t>Processed Meats</w:t>
      </w:r>
    </w:p>
    <w:p w14:paraId="2E2E20C4" w14:textId="6542DA29" w:rsidR="00E341AE" w:rsidRDefault="00532136" w:rsidP="001C3E43">
      <w:pPr>
        <w:spacing w:after="0" w:line="240" w:lineRule="auto"/>
        <w:rPr>
          <w:rFonts w:ascii="Calibri" w:hAnsi="Calibri" w:cs="Calibri"/>
          <w:bCs/>
          <w:sz w:val="24"/>
          <w:szCs w:val="24"/>
        </w:rPr>
      </w:pPr>
      <w:r>
        <w:rPr>
          <w:sz w:val="24"/>
          <w:szCs w:val="24"/>
        </w:rPr>
        <w:t xml:space="preserve">USDA requested comments on how to define processed meats. </w:t>
      </w:r>
      <w:r w:rsidR="00F7743C">
        <w:rPr>
          <w:sz w:val="24"/>
          <w:szCs w:val="24"/>
        </w:rPr>
        <w:t xml:space="preserve"> </w:t>
      </w:r>
      <w:r w:rsidR="00E341AE">
        <w:rPr>
          <w:rFonts w:ascii="Calibri" w:hAnsi="Calibri" w:cs="Calibri"/>
          <w:bCs/>
          <w:sz w:val="24"/>
          <w:szCs w:val="24"/>
        </w:rPr>
        <w:t xml:space="preserve">The 2015 Dietary Guidelines for </w:t>
      </w:r>
      <w:r w:rsidR="00F14A84">
        <w:rPr>
          <w:rFonts w:ascii="Calibri" w:hAnsi="Calibri" w:cs="Calibri"/>
          <w:bCs/>
          <w:sz w:val="24"/>
          <w:szCs w:val="24"/>
        </w:rPr>
        <w:t xml:space="preserve">Advisory </w:t>
      </w:r>
      <w:r w:rsidR="00E341AE">
        <w:rPr>
          <w:rFonts w:ascii="Calibri" w:hAnsi="Calibri" w:cs="Calibri"/>
          <w:bCs/>
          <w:sz w:val="24"/>
          <w:szCs w:val="24"/>
        </w:rPr>
        <w:t>Committee Report inclu</w:t>
      </w:r>
      <w:r w:rsidR="00D55F15">
        <w:rPr>
          <w:rFonts w:ascii="Calibri" w:hAnsi="Calibri" w:cs="Calibri"/>
          <w:bCs/>
          <w:sz w:val="24"/>
          <w:szCs w:val="24"/>
        </w:rPr>
        <w:t>d</w:t>
      </w:r>
      <w:r w:rsidR="00C73CB1">
        <w:rPr>
          <w:rFonts w:ascii="Calibri" w:hAnsi="Calibri" w:cs="Calibri"/>
          <w:bCs/>
          <w:sz w:val="24"/>
          <w:szCs w:val="24"/>
        </w:rPr>
        <w:t>ed the following definition</w:t>
      </w:r>
      <w:r w:rsidR="00E341AE">
        <w:rPr>
          <w:rFonts w:ascii="Calibri" w:hAnsi="Calibri" w:cs="Calibri"/>
          <w:bCs/>
          <w:sz w:val="24"/>
          <w:szCs w:val="24"/>
        </w:rPr>
        <w:t xml:space="preserve">: </w:t>
      </w:r>
    </w:p>
    <w:p w14:paraId="22CA0E14" w14:textId="77777777" w:rsidR="00D55F15" w:rsidRDefault="00D55F15" w:rsidP="001C3E43">
      <w:pPr>
        <w:spacing w:after="0" w:line="240" w:lineRule="auto"/>
        <w:rPr>
          <w:b/>
          <w:bCs/>
          <w:sz w:val="24"/>
          <w:szCs w:val="24"/>
        </w:rPr>
      </w:pPr>
    </w:p>
    <w:p w14:paraId="693FFFE1" w14:textId="7CA37226" w:rsidR="00E341AE" w:rsidRDefault="00C73CB1" w:rsidP="001C3E43">
      <w:pPr>
        <w:spacing w:after="0" w:line="240" w:lineRule="auto"/>
        <w:ind w:left="720"/>
        <w:rPr>
          <w:sz w:val="24"/>
          <w:szCs w:val="24"/>
        </w:rPr>
      </w:pPr>
      <w:r>
        <w:rPr>
          <w:sz w:val="24"/>
          <w:szCs w:val="24"/>
        </w:rPr>
        <w:lastRenderedPageBreak/>
        <w:t>Processed meats are m</w:t>
      </w:r>
      <w:r w:rsidR="00E341AE" w:rsidRPr="00E341AE">
        <w:rPr>
          <w:sz w:val="24"/>
          <w:szCs w:val="24"/>
        </w:rPr>
        <w:t>eat, poultry, or seafood products preserved by smoking, curing or salting, or addition of chemical preservatives. Processed meat includes bacon, sausage, hot dogs, sandwich meat, packaged ham, pepperoni, and salami.</w:t>
      </w:r>
      <w:r w:rsidR="00502F8B">
        <w:rPr>
          <w:rStyle w:val="FootnoteReference"/>
          <w:sz w:val="24"/>
          <w:szCs w:val="24"/>
        </w:rPr>
        <w:footnoteReference w:id="59"/>
      </w:r>
      <w:r w:rsidR="00F7743C">
        <w:rPr>
          <w:sz w:val="24"/>
          <w:szCs w:val="24"/>
        </w:rPr>
        <w:t xml:space="preserve"> </w:t>
      </w:r>
    </w:p>
    <w:p w14:paraId="3C8AEB22" w14:textId="77777777" w:rsidR="00D55F15" w:rsidRDefault="00D55F15" w:rsidP="001C3E43">
      <w:pPr>
        <w:spacing w:after="0" w:line="240" w:lineRule="auto"/>
        <w:ind w:left="720"/>
        <w:rPr>
          <w:sz w:val="24"/>
          <w:szCs w:val="24"/>
        </w:rPr>
      </w:pPr>
    </w:p>
    <w:p w14:paraId="76185EAF" w14:textId="7505A29A" w:rsidR="00D55F15" w:rsidRDefault="005639C4" w:rsidP="001C3E43">
      <w:pPr>
        <w:spacing w:after="0" w:line="240" w:lineRule="auto"/>
        <w:rPr>
          <w:sz w:val="24"/>
          <w:szCs w:val="24"/>
        </w:rPr>
      </w:pPr>
      <w:r>
        <w:rPr>
          <w:sz w:val="24"/>
          <w:szCs w:val="24"/>
        </w:rPr>
        <w:t>The</w:t>
      </w:r>
      <w:r w:rsidR="00532136">
        <w:rPr>
          <w:sz w:val="24"/>
          <w:szCs w:val="24"/>
        </w:rPr>
        <w:t xml:space="preserve"> Minnesota Department of Education,</w:t>
      </w:r>
      <w:r w:rsidR="00532136">
        <w:rPr>
          <w:rStyle w:val="FootnoteReference"/>
          <w:sz w:val="24"/>
          <w:szCs w:val="24"/>
        </w:rPr>
        <w:footnoteReference w:id="60"/>
      </w:r>
      <w:r w:rsidR="00532136">
        <w:rPr>
          <w:sz w:val="24"/>
          <w:szCs w:val="24"/>
        </w:rPr>
        <w:t xml:space="preserve"> Indiana Department of Education,</w:t>
      </w:r>
      <w:r w:rsidR="00532136">
        <w:rPr>
          <w:rStyle w:val="FootnoteReference"/>
          <w:sz w:val="24"/>
          <w:szCs w:val="24"/>
        </w:rPr>
        <w:footnoteReference w:id="61"/>
      </w:r>
      <w:r w:rsidR="00532136">
        <w:rPr>
          <w:sz w:val="24"/>
          <w:szCs w:val="24"/>
        </w:rPr>
        <w:t xml:space="preserve"> Delaware Department of Education,</w:t>
      </w:r>
      <w:r w:rsidR="00532136">
        <w:rPr>
          <w:rStyle w:val="FootnoteReference"/>
          <w:sz w:val="24"/>
          <w:szCs w:val="24"/>
        </w:rPr>
        <w:footnoteReference w:id="62"/>
      </w:r>
      <w:r w:rsidR="00532136">
        <w:rPr>
          <w:sz w:val="24"/>
          <w:szCs w:val="24"/>
        </w:rPr>
        <w:t xml:space="preserve"> </w:t>
      </w:r>
      <w:r>
        <w:rPr>
          <w:sz w:val="24"/>
          <w:szCs w:val="24"/>
        </w:rPr>
        <w:t>and New York State Department of Health</w:t>
      </w:r>
      <w:r>
        <w:rPr>
          <w:rStyle w:val="FootnoteReference"/>
          <w:sz w:val="24"/>
          <w:szCs w:val="24"/>
        </w:rPr>
        <w:footnoteReference w:id="63"/>
      </w:r>
      <w:r>
        <w:rPr>
          <w:sz w:val="24"/>
          <w:szCs w:val="24"/>
        </w:rPr>
        <w:t xml:space="preserve"> all have child care resources that list</w:t>
      </w:r>
      <w:r w:rsidR="00D55F15">
        <w:rPr>
          <w:sz w:val="24"/>
          <w:szCs w:val="24"/>
        </w:rPr>
        <w:t xml:space="preserve"> specific foods</w:t>
      </w:r>
      <w:r w:rsidR="00C73CB1">
        <w:rPr>
          <w:sz w:val="24"/>
          <w:szCs w:val="24"/>
        </w:rPr>
        <w:t xml:space="preserve"> to clarify what they mean by processed meats.</w:t>
      </w:r>
      <w:r>
        <w:rPr>
          <w:sz w:val="24"/>
          <w:szCs w:val="24"/>
        </w:rPr>
        <w:t xml:space="preserve"> </w:t>
      </w:r>
      <w:r w:rsidR="00F7743C">
        <w:rPr>
          <w:sz w:val="24"/>
          <w:szCs w:val="24"/>
        </w:rPr>
        <w:t xml:space="preserve"> </w:t>
      </w:r>
      <w:r w:rsidR="00D55F15">
        <w:rPr>
          <w:sz w:val="24"/>
          <w:szCs w:val="24"/>
        </w:rPr>
        <w:t xml:space="preserve">We recommend that USDA use a definition similar to the DGAC and list specific meat products that are likely to be served in child care facilities. </w:t>
      </w:r>
    </w:p>
    <w:p w14:paraId="743BD57E" w14:textId="77777777" w:rsidR="00C73CB1" w:rsidRDefault="00C73CB1" w:rsidP="001C3E43">
      <w:pPr>
        <w:spacing w:after="0" w:line="240" w:lineRule="auto"/>
        <w:rPr>
          <w:sz w:val="24"/>
          <w:szCs w:val="24"/>
        </w:rPr>
      </w:pPr>
    </w:p>
    <w:p w14:paraId="367A442D" w14:textId="06365938" w:rsidR="00C73CB1" w:rsidRPr="00C10651" w:rsidRDefault="00F14A84" w:rsidP="001C3E43">
      <w:pPr>
        <w:spacing w:after="0" w:line="240" w:lineRule="auto"/>
        <w:rPr>
          <w:sz w:val="24"/>
          <w:szCs w:val="24"/>
          <w:vertAlign w:val="superscript"/>
        </w:rPr>
      </w:pPr>
      <w:r>
        <w:rPr>
          <w:sz w:val="24"/>
          <w:szCs w:val="24"/>
        </w:rPr>
        <w:t>W</w:t>
      </w:r>
      <w:r w:rsidR="00C73CB1">
        <w:rPr>
          <w:sz w:val="24"/>
          <w:szCs w:val="24"/>
        </w:rPr>
        <w:t xml:space="preserve">e recommend that USDA limit processed meats in CACFP facilities. Some </w:t>
      </w:r>
      <w:r w:rsidR="00C73CB1" w:rsidRPr="003C703F">
        <w:rPr>
          <w:rFonts w:cs="Times New Roman"/>
          <w:color w:val="000000"/>
          <w:sz w:val="24"/>
          <w:szCs w:val="24"/>
        </w:rPr>
        <w:t xml:space="preserve">state agencies already limit the amount of </w:t>
      </w:r>
      <w:r w:rsidR="00C73CB1">
        <w:rPr>
          <w:rFonts w:cs="Times New Roman"/>
          <w:color w:val="000000"/>
          <w:sz w:val="24"/>
          <w:szCs w:val="24"/>
        </w:rPr>
        <w:t>processed meats</w:t>
      </w:r>
      <w:r w:rsidR="00C73CB1" w:rsidRPr="003C703F">
        <w:rPr>
          <w:rFonts w:cs="Times New Roman"/>
          <w:color w:val="000000"/>
          <w:sz w:val="24"/>
          <w:szCs w:val="24"/>
        </w:rPr>
        <w:t xml:space="preserve"> reimbursable under t</w:t>
      </w:r>
      <w:r w:rsidR="00C73CB1">
        <w:rPr>
          <w:rFonts w:cs="Times New Roman"/>
          <w:color w:val="000000"/>
          <w:sz w:val="24"/>
          <w:szCs w:val="24"/>
        </w:rPr>
        <w:t xml:space="preserve">he CACFP program. </w:t>
      </w:r>
      <w:r w:rsidR="00C73CB1">
        <w:rPr>
          <w:sz w:val="24"/>
          <w:szCs w:val="24"/>
        </w:rPr>
        <w:t>Delaware limits processed meats to once every two weeks through its child care licensing.</w:t>
      </w:r>
      <w:r w:rsidR="00502F8B">
        <w:rPr>
          <w:rStyle w:val="FootnoteReference"/>
          <w:sz w:val="24"/>
          <w:szCs w:val="24"/>
        </w:rPr>
        <w:footnoteReference w:id="64"/>
      </w:r>
      <w:r w:rsidR="00C73CB1">
        <w:rPr>
          <w:sz w:val="24"/>
          <w:szCs w:val="24"/>
        </w:rPr>
        <w:t xml:space="preserve"> New York State recommends limiting processed meats to once a week.</w:t>
      </w:r>
      <w:r w:rsidR="00502F8B">
        <w:rPr>
          <w:rStyle w:val="FootnoteReference"/>
          <w:sz w:val="24"/>
          <w:szCs w:val="24"/>
        </w:rPr>
        <w:footnoteReference w:id="65"/>
      </w:r>
    </w:p>
    <w:p w14:paraId="3623DA54" w14:textId="77777777" w:rsidR="007D00E7" w:rsidRDefault="007D00E7" w:rsidP="001C3E43">
      <w:pPr>
        <w:spacing w:after="0" w:line="240" w:lineRule="auto"/>
        <w:rPr>
          <w:sz w:val="24"/>
          <w:szCs w:val="24"/>
        </w:rPr>
      </w:pPr>
    </w:p>
    <w:p w14:paraId="187B9672" w14:textId="77777777" w:rsidR="007D00E7" w:rsidRPr="00AE6522" w:rsidRDefault="007D00E7" w:rsidP="001C3E43">
      <w:pPr>
        <w:spacing w:after="0" w:line="240" w:lineRule="auto"/>
        <w:rPr>
          <w:b/>
          <w:sz w:val="24"/>
          <w:szCs w:val="24"/>
        </w:rPr>
      </w:pPr>
      <w:r w:rsidRPr="00AE6522">
        <w:rPr>
          <w:b/>
          <w:sz w:val="24"/>
          <w:szCs w:val="24"/>
        </w:rPr>
        <w:t>Conclusion</w:t>
      </w:r>
    </w:p>
    <w:p w14:paraId="5847434B" w14:textId="77777777" w:rsidR="007D00E7" w:rsidRPr="00AE6522" w:rsidRDefault="007D00E7" w:rsidP="001C3E43">
      <w:pPr>
        <w:spacing w:after="0" w:line="240" w:lineRule="auto"/>
        <w:rPr>
          <w:sz w:val="24"/>
          <w:szCs w:val="24"/>
        </w:rPr>
      </w:pPr>
    </w:p>
    <w:p w14:paraId="3E90B452" w14:textId="08E3A883" w:rsidR="004B194B" w:rsidRPr="003B18FB" w:rsidRDefault="007D00E7" w:rsidP="001C3E43">
      <w:pPr>
        <w:spacing w:after="0" w:line="240" w:lineRule="auto"/>
        <w:rPr>
          <w:rFonts w:cs="Calibri"/>
          <w:sz w:val="24"/>
          <w:szCs w:val="24"/>
        </w:rPr>
      </w:pPr>
      <w:r>
        <w:rPr>
          <w:rFonts w:cs="Calibri"/>
          <w:sz w:val="24"/>
          <w:szCs w:val="24"/>
        </w:rPr>
        <w:t>In closing, we commend</w:t>
      </w:r>
      <w:r w:rsidRPr="00AE6522">
        <w:rPr>
          <w:rFonts w:cs="Calibri"/>
          <w:sz w:val="24"/>
          <w:szCs w:val="24"/>
        </w:rPr>
        <w:t xml:space="preserve"> USDA for developing this much-needed update to the n</w:t>
      </w:r>
      <w:r>
        <w:rPr>
          <w:rFonts w:cs="Calibri"/>
          <w:sz w:val="24"/>
          <w:szCs w:val="24"/>
        </w:rPr>
        <w:t>utrition standards for the Child and Adult Care Food Program</w:t>
      </w:r>
      <w:r w:rsidRPr="00AE6522">
        <w:rPr>
          <w:rFonts w:cs="Calibri"/>
          <w:sz w:val="24"/>
          <w:szCs w:val="24"/>
        </w:rPr>
        <w:t>, and we encourage the agency to act expeditiously to finalize and fully implement a</w:t>
      </w:r>
      <w:r w:rsidR="00F7743C">
        <w:rPr>
          <w:rFonts w:cs="Calibri"/>
          <w:sz w:val="24"/>
          <w:szCs w:val="24"/>
        </w:rPr>
        <w:t xml:space="preserve"> strong final rule.  We urge USDA to build on its</w:t>
      </w:r>
      <w:r w:rsidRPr="00AE6522">
        <w:rPr>
          <w:rFonts w:cs="Calibri"/>
          <w:sz w:val="24"/>
          <w:szCs w:val="24"/>
        </w:rPr>
        <w:t xml:space="preserve"> proposal and strengthen it to ensure that strong</w:t>
      </w:r>
      <w:r>
        <w:rPr>
          <w:rFonts w:cs="Calibri"/>
          <w:sz w:val="24"/>
          <w:szCs w:val="24"/>
        </w:rPr>
        <w:t>, feasible</w:t>
      </w:r>
      <w:r w:rsidRPr="00AE6522">
        <w:rPr>
          <w:rFonts w:cs="Calibri"/>
          <w:sz w:val="24"/>
          <w:szCs w:val="24"/>
        </w:rPr>
        <w:t xml:space="preserve"> nutrition standards </w:t>
      </w:r>
      <w:r>
        <w:rPr>
          <w:rFonts w:cs="Calibri"/>
          <w:sz w:val="24"/>
          <w:szCs w:val="24"/>
        </w:rPr>
        <w:t xml:space="preserve">are put in place </w:t>
      </w:r>
      <w:r w:rsidRPr="00AE6522">
        <w:rPr>
          <w:rFonts w:cs="Calibri"/>
          <w:sz w:val="24"/>
          <w:szCs w:val="24"/>
        </w:rPr>
        <w:t>to help safeguard and s</w:t>
      </w:r>
      <w:r>
        <w:rPr>
          <w:rFonts w:cs="Calibri"/>
          <w:sz w:val="24"/>
          <w:szCs w:val="24"/>
        </w:rPr>
        <w:t>upport the health of CACFP participants</w:t>
      </w:r>
      <w:r w:rsidRPr="00AE6522">
        <w:rPr>
          <w:rFonts w:cs="Calibri"/>
          <w:sz w:val="24"/>
          <w:szCs w:val="24"/>
        </w:rPr>
        <w:t>.</w:t>
      </w:r>
    </w:p>
    <w:sectPr w:rsidR="004B194B" w:rsidRPr="003B18FB" w:rsidSect="007D00E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47058" w14:textId="77777777" w:rsidR="00950759" w:rsidRDefault="00950759" w:rsidP="00D05422">
      <w:pPr>
        <w:spacing w:after="0" w:line="240" w:lineRule="auto"/>
      </w:pPr>
      <w:r>
        <w:separator/>
      </w:r>
    </w:p>
  </w:endnote>
  <w:endnote w:type="continuationSeparator" w:id="0">
    <w:p w14:paraId="53EC5986" w14:textId="77777777" w:rsidR="00950759" w:rsidRDefault="00950759" w:rsidP="00D0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588865"/>
      <w:docPartObj>
        <w:docPartGallery w:val="Page Numbers (Bottom of Page)"/>
        <w:docPartUnique/>
      </w:docPartObj>
    </w:sdtPr>
    <w:sdtEndPr>
      <w:rPr>
        <w:noProof/>
      </w:rPr>
    </w:sdtEndPr>
    <w:sdtContent>
      <w:p w14:paraId="5610050A" w14:textId="77777777" w:rsidR="004C7DDC" w:rsidRDefault="004C7DDC">
        <w:pPr>
          <w:pStyle w:val="Footer"/>
          <w:jc w:val="right"/>
        </w:pPr>
        <w:r>
          <w:fldChar w:fldCharType="begin"/>
        </w:r>
        <w:r>
          <w:instrText xml:space="preserve"> PAGE   \* MERGEFORMAT </w:instrText>
        </w:r>
        <w:r>
          <w:fldChar w:fldCharType="separate"/>
        </w:r>
        <w:r w:rsidR="0011735F">
          <w:rPr>
            <w:noProof/>
          </w:rPr>
          <w:t>13</w:t>
        </w:r>
        <w:r>
          <w:rPr>
            <w:noProof/>
          </w:rPr>
          <w:fldChar w:fldCharType="end"/>
        </w:r>
      </w:p>
    </w:sdtContent>
  </w:sdt>
  <w:p w14:paraId="3F9E2AB2" w14:textId="77777777" w:rsidR="004C7DDC" w:rsidRDefault="004C7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C9F63" w14:textId="77777777" w:rsidR="00950759" w:rsidRDefault="00950759" w:rsidP="00D05422">
      <w:pPr>
        <w:spacing w:after="0" w:line="240" w:lineRule="auto"/>
      </w:pPr>
      <w:r>
        <w:separator/>
      </w:r>
    </w:p>
  </w:footnote>
  <w:footnote w:type="continuationSeparator" w:id="0">
    <w:p w14:paraId="7DDAB2BC" w14:textId="77777777" w:rsidR="00950759" w:rsidRDefault="00950759" w:rsidP="00D05422">
      <w:pPr>
        <w:spacing w:after="0" w:line="240" w:lineRule="auto"/>
      </w:pPr>
      <w:r>
        <w:continuationSeparator/>
      </w:r>
    </w:p>
  </w:footnote>
  <w:footnote w:id="1">
    <w:p w14:paraId="2B0E3097" w14:textId="3709DF2F" w:rsidR="004C7DDC" w:rsidRPr="00EC16BA" w:rsidRDefault="004C7DDC" w:rsidP="00267CB9">
      <w:pPr>
        <w:pStyle w:val="FootnoteText"/>
        <w:rPr>
          <w:sz w:val="16"/>
          <w:szCs w:val="16"/>
        </w:rPr>
      </w:pPr>
      <w:r w:rsidRPr="00EC16BA">
        <w:rPr>
          <w:rStyle w:val="FootnoteReference"/>
          <w:sz w:val="16"/>
          <w:szCs w:val="16"/>
        </w:rPr>
        <w:footnoteRef/>
      </w:r>
      <w:r w:rsidRPr="00EC16BA">
        <w:rPr>
          <w:sz w:val="16"/>
          <w:szCs w:val="16"/>
        </w:rPr>
        <w:t xml:space="preserve"> Rader RK, Mullen KB, </w:t>
      </w:r>
      <w:proofErr w:type="spellStart"/>
      <w:r w:rsidRPr="00EC16BA">
        <w:rPr>
          <w:sz w:val="16"/>
          <w:szCs w:val="16"/>
        </w:rPr>
        <w:t>Sterkel</w:t>
      </w:r>
      <w:proofErr w:type="spellEnd"/>
      <w:r w:rsidRPr="00EC16BA">
        <w:rPr>
          <w:sz w:val="16"/>
          <w:szCs w:val="16"/>
        </w:rPr>
        <w:t xml:space="preserve"> R, et al. (2014). Opportunities to Reduce Children's Excessive Consumption of Calories from Beverages. </w:t>
      </w:r>
      <w:r w:rsidRPr="00EC16BA">
        <w:rPr>
          <w:i/>
          <w:iCs/>
          <w:sz w:val="16"/>
          <w:szCs w:val="16"/>
        </w:rPr>
        <w:t>Clinical Pediatrics</w:t>
      </w:r>
      <w:r w:rsidRPr="00EC16BA">
        <w:rPr>
          <w:sz w:val="16"/>
          <w:szCs w:val="16"/>
        </w:rPr>
        <w:t>, 1047-54.</w:t>
      </w:r>
    </w:p>
  </w:footnote>
  <w:footnote w:id="2">
    <w:p w14:paraId="51A21BD3" w14:textId="77777777" w:rsidR="004C7DDC" w:rsidRPr="00EC16BA" w:rsidRDefault="004C7DDC" w:rsidP="00705479">
      <w:pPr>
        <w:autoSpaceDE w:val="0"/>
        <w:autoSpaceDN w:val="0"/>
        <w:adjustRightInd w:val="0"/>
        <w:spacing w:after="0" w:line="240" w:lineRule="auto"/>
        <w:rPr>
          <w:rFonts w:ascii="Calibri" w:hAnsi="Calibri" w:cs="Calibri"/>
          <w:color w:val="000000"/>
          <w:sz w:val="16"/>
          <w:szCs w:val="16"/>
        </w:rPr>
      </w:pPr>
      <w:r w:rsidRPr="00EC16BA">
        <w:rPr>
          <w:rStyle w:val="FootnoteReference"/>
          <w:sz w:val="16"/>
          <w:szCs w:val="16"/>
        </w:rPr>
        <w:footnoteRef/>
      </w:r>
      <w:r w:rsidRPr="00EC16BA">
        <w:rPr>
          <w:sz w:val="16"/>
          <w:szCs w:val="16"/>
        </w:rPr>
        <w:t xml:space="preserve"> </w:t>
      </w:r>
      <w:r w:rsidRPr="00EC16BA">
        <w:rPr>
          <w:rFonts w:ascii="Calibri" w:hAnsi="Calibri" w:cs="Calibri"/>
          <w:color w:val="000000"/>
          <w:sz w:val="16"/>
          <w:szCs w:val="16"/>
        </w:rPr>
        <w:t>U.S. Department of Agriculture &amp; U.S. Department of Health and Human Services. (2010). Dietary Guidelines for Americans, 2010. Washington, D.C.: U.S. Government Printing Office.</w:t>
      </w:r>
    </w:p>
  </w:footnote>
  <w:footnote w:id="3">
    <w:p w14:paraId="2F8CA103" w14:textId="0C2A83FA" w:rsidR="004C7DDC" w:rsidRPr="00705479" w:rsidRDefault="004C7DDC">
      <w:pPr>
        <w:pStyle w:val="FootnoteText"/>
        <w:rPr>
          <w:sz w:val="16"/>
          <w:szCs w:val="16"/>
        </w:rPr>
      </w:pPr>
      <w:r w:rsidRPr="00705479">
        <w:rPr>
          <w:rStyle w:val="FootnoteReference"/>
          <w:sz w:val="16"/>
          <w:szCs w:val="16"/>
        </w:rPr>
        <w:footnoteRef/>
      </w:r>
      <w:r w:rsidRPr="00705479">
        <w:rPr>
          <w:sz w:val="16"/>
          <w:szCs w:val="16"/>
        </w:rPr>
        <w:t xml:space="preserve"> </w:t>
      </w:r>
      <w:r>
        <w:rPr>
          <w:sz w:val="16"/>
          <w:szCs w:val="16"/>
        </w:rPr>
        <w:t>i</w:t>
      </w:r>
      <w:r w:rsidRPr="00705479">
        <w:rPr>
          <w:sz w:val="16"/>
          <w:szCs w:val="16"/>
        </w:rPr>
        <w:t>bid.</w:t>
      </w:r>
    </w:p>
  </w:footnote>
  <w:footnote w:id="4">
    <w:p w14:paraId="52E2BE86" w14:textId="70BD9637" w:rsidR="004C7DDC" w:rsidRPr="00EC16BA" w:rsidRDefault="004C7DDC">
      <w:pPr>
        <w:pStyle w:val="FootnoteText"/>
        <w:rPr>
          <w:rFonts w:ascii="Calibri" w:hAnsi="Calibri" w:cs="Calibri"/>
          <w:color w:val="000000"/>
          <w:sz w:val="16"/>
          <w:szCs w:val="16"/>
        </w:rPr>
      </w:pPr>
      <w:r w:rsidRPr="00EC16BA">
        <w:rPr>
          <w:rStyle w:val="FootnoteReference"/>
          <w:sz w:val="16"/>
          <w:szCs w:val="16"/>
        </w:rPr>
        <w:footnoteRef/>
      </w:r>
      <w:r w:rsidRPr="00EC16BA">
        <w:rPr>
          <w:sz w:val="16"/>
          <w:szCs w:val="16"/>
        </w:rPr>
        <w:t xml:space="preserve"> </w:t>
      </w:r>
      <w:r w:rsidRPr="00EC16BA">
        <w:rPr>
          <w:bCs/>
          <w:sz w:val="16"/>
          <w:szCs w:val="16"/>
        </w:rPr>
        <w:t>National Resource Center for Health and Safety in Child Care and Early Education</w:t>
      </w:r>
      <w:r w:rsidRPr="00EC16BA">
        <w:rPr>
          <w:sz w:val="16"/>
          <w:szCs w:val="16"/>
        </w:rPr>
        <w:t xml:space="preserve"> </w:t>
      </w:r>
      <w:r w:rsidRPr="00EC16BA">
        <w:rPr>
          <w:rFonts w:ascii="Calibri" w:hAnsi="Calibri" w:cs="Calibri"/>
          <w:color w:val="000000"/>
          <w:sz w:val="16"/>
          <w:szCs w:val="16"/>
        </w:rPr>
        <w:t xml:space="preserve">(2015). </w:t>
      </w:r>
      <w:r w:rsidRPr="00EC16BA">
        <w:rPr>
          <w:rFonts w:ascii="Calibri" w:hAnsi="Calibri" w:cs="Calibri"/>
          <w:i/>
          <w:iCs/>
          <w:color w:val="000000"/>
          <w:sz w:val="16"/>
          <w:szCs w:val="16"/>
        </w:rPr>
        <w:t>Rhode Island Regulations</w:t>
      </w:r>
      <w:r w:rsidRPr="00EC16BA">
        <w:rPr>
          <w:rFonts w:ascii="Calibri" w:hAnsi="Calibri" w:cs="Calibri"/>
          <w:color w:val="000000"/>
          <w:sz w:val="16"/>
          <w:szCs w:val="16"/>
        </w:rPr>
        <w:t xml:space="preserve">. Retrieved from Improving the Quality of Out-Of-Home Child Care and Early Education: </w:t>
      </w:r>
      <w:hyperlink r:id="rId1" w:history="1">
        <w:r w:rsidRPr="00EC16BA">
          <w:rPr>
            <w:rStyle w:val="Hyperlink"/>
            <w:rFonts w:ascii="Calibri" w:hAnsi="Calibri" w:cs="Calibri"/>
            <w:sz w:val="16"/>
            <w:szCs w:val="16"/>
          </w:rPr>
          <w:t>http://nrckids.org/index.cfm/resources/state-licensing-and-regulation-information/rhode-island-regulations/</w:t>
        </w:r>
      </w:hyperlink>
      <w:r w:rsidRPr="00EC16BA">
        <w:rPr>
          <w:rFonts w:ascii="Calibri" w:hAnsi="Calibri" w:cs="Calibri"/>
          <w:color w:val="000000"/>
          <w:sz w:val="16"/>
          <w:szCs w:val="16"/>
        </w:rPr>
        <w:t>. Accessed April 2, 2015.</w:t>
      </w:r>
    </w:p>
  </w:footnote>
  <w:footnote w:id="5">
    <w:p w14:paraId="5FB40719" w14:textId="7CB90FFE" w:rsidR="004C7DDC" w:rsidRPr="00EC16BA" w:rsidRDefault="004C7DDC" w:rsidP="003C703F">
      <w:pPr>
        <w:spacing w:after="0"/>
        <w:rPr>
          <w:sz w:val="16"/>
          <w:szCs w:val="16"/>
        </w:rPr>
      </w:pPr>
      <w:r w:rsidRPr="00EC16BA">
        <w:rPr>
          <w:rStyle w:val="FootnoteReference"/>
          <w:sz w:val="16"/>
          <w:szCs w:val="16"/>
        </w:rPr>
        <w:footnoteRef/>
      </w:r>
      <w:r w:rsidRPr="00EC16BA">
        <w:rPr>
          <w:sz w:val="16"/>
          <w:szCs w:val="16"/>
        </w:rPr>
        <w:t xml:space="preserve"> </w:t>
      </w:r>
      <w:r w:rsidRPr="00EC16BA">
        <w:rPr>
          <w:bCs/>
          <w:sz w:val="16"/>
          <w:szCs w:val="16"/>
        </w:rPr>
        <w:t>National Resource Center for Health and Safety in Child Care and Early Education</w:t>
      </w:r>
      <w:r w:rsidRPr="00EC16BA">
        <w:rPr>
          <w:sz w:val="16"/>
          <w:szCs w:val="16"/>
        </w:rPr>
        <w:t xml:space="preserve"> </w:t>
      </w:r>
      <w:r w:rsidRPr="00EC16BA">
        <w:rPr>
          <w:rFonts w:ascii="Calibri" w:hAnsi="Calibri" w:cs="Calibri"/>
          <w:color w:val="000000"/>
          <w:sz w:val="16"/>
          <w:szCs w:val="16"/>
        </w:rPr>
        <w:t xml:space="preserve">(2015). </w:t>
      </w:r>
      <w:r w:rsidRPr="00EC16BA">
        <w:rPr>
          <w:rFonts w:ascii="Calibri" w:hAnsi="Calibri" w:cs="Calibri"/>
          <w:i/>
          <w:iCs/>
          <w:color w:val="000000"/>
          <w:sz w:val="16"/>
          <w:szCs w:val="16"/>
        </w:rPr>
        <w:t>Mississippi Regulations</w:t>
      </w:r>
      <w:r w:rsidRPr="00EC16BA">
        <w:rPr>
          <w:rFonts w:ascii="Calibri" w:hAnsi="Calibri" w:cs="Calibri"/>
          <w:color w:val="000000"/>
          <w:sz w:val="16"/>
          <w:szCs w:val="16"/>
        </w:rPr>
        <w:t xml:space="preserve">. Retrieved from Improving the Quality of Out-Of-Home Child Care and Early Education: </w:t>
      </w:r>
      <w:hyperlink r:id="rId2" w:history="1">
        <w:r w:rsidRPr="00EC16BA">
          <w:rPr>
            <w:rStyle w:val="Hyperlink"/>
            <w:rFonts w:ascii="Calibri" w:hAnsi="Calibri" w:cs="Calibri"/>
            <w:sz w:val="16"/>
            <w:szCs w:val="16"/>
          </w:rPr>
          <w:t>http://nrckids.org/index.cfm/resources/state-licensing-and-regulation-information/mississippi-regulations/</w:t>
        </w:r>
      </w:hyperlink>
      <w:r w:rsidRPr="00EC16BA">
        <w:rPr>
          <w:rFonts w:ascii="Calibri" w:hAnsi="Calibri" w:cs="Calibri"/>
          <w:color w:val="000000"/>
          <w:sz w:val="16"/>
          <w:szCs w:val="16"/>
        </w:rPr>
        <w:t>. Accessed April 2, 2015.</w:t>
      </w:r>
    </w:p>
  </w:footnote>
  <w:footnote w:id="6">
    <w:p w14:paraId="7DE63CBA" w14:textId="2C1B3500" w:rsidR="004C7DDC" w:rsidRDefault="004C7DDC">
      <w:pPr>
        <w:pStyle w:val="FootnoteText"/>
      </w:pPr>
      <w:r w:rsidRPr="00EC16BA">
        <w:rPr>
          <w:rStyle w:val="FootnoteReference"/>
          <w:sz w:val="16"/>
          <w:szCs w:val="16"/>
        </w:rPr>
        <w:footnoteRef/>
      </w:r>
      <w:r w:rsidRPr="00EC16BA">
        <w:rPr>
          <w:sz w:val="16"/>
          <w:szCs w:val="16"/>
        </w:rPr>
        <w:t xml:space="preserve"> American Academy of Pediatrics. (March 2012). Policy Statement Breastfeeding and the Use of Human Milk. </w:t>
      </w:r>
      <w:r w:rsidRPr="00EC16BA">
        <w:rPr>
          <w:i/>
          <w:iCs/>
          <w:sz w:val="16"/>
          <w:szCs w:val="16"/>
        </w:rPr>
        <w:t>Pediatrics</w:t>
      </w:r>
      <w:r w:rsidRPr="00EC16BA">
        <w:rPr>
          <w:sz w:val="16"/>
          <w:szCs w:val="16"/>
        </w:rPr>
        <w:t>, e827-e841.</w:t>
      </w:r>
    </w:p>
  </w:footnote>
  <w:footnote w:id="7">
    <w:p w14:paraId="63361FE2" w14:textId="497BD072"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U.S. Department of Health and Human Services. (2011). The Surgeon General’s Call to Action to Support Breastfeeding. Washington, DC: U.S. Department of Health and Human Services, Office of the Surgeon General.</w:t>
      </w:r>
    </w:p>
  </w:footnote>
  <w:footnote w:id="8">
    <w:p w14:paraId="2644FA08" w14:textId="7875FA27"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w:t>
      </w:r>
      <w:r w:rsidRPr="00502F8B">
        <w:rPr>
          <w:rFonts w:ascii="Calibri" w:hAnsi="Calibri" w:cs="Calibri"/>
          <w:color w:val="000000"/>
          <w:sz w:val="16"/>
          <w:szCs w:val="16"/>
        </w:rPr>
        <w:t>U.S. Department of Agriculture &amp; U.S. Department of Health and Human Services, see footnote #2.</w:t>
      </w:r>
    </w:p>
  </w:footnote>
  <w:footnote w:id="9">
    <w:p w14:paraId="39B6F878" w14:textId="36F88DE9"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w:t>
      </w:r>
      <w:r>
        <w:rPr>
          <w:rFonts w:ascii="Calibri" w:hAnsi="Calibri" w:cs="Calibri"/>
          <w:color w:val="000000"/>
          <w:sz w:val="16"/>
          <w:szCs w:val="16"/>
        </w:rPr>
        <w:t>ibid.</w:t>
      </w:r>
    </w:p>
  </w:footnote>
  <w:footnote w:id="10">
    <w:p w14:paraId="30D5FDA8" w14:textId="419AB3CD"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Institute of Medicine. (2011). Child and Adult Care Food Program. Washington, DC: The National Academies Press.</w:t>
      </w:r>
    </w:p>
  </w:footnote>
  <w:footnote w:id="11">
    <w:p w14:paraId="188143EB" w14:textId="1A55BC21" w:rsidR="004C7DDC" w:rsidRPr="00502F8B" w:rsidRDefault="004C7DDC" w:rsidP="00351410">
      <w:pPr>
        <w:autoSpaceDE w:val="0"/>
        <w:autoSpaceDN w:val="0"/>
        <w:adjustRightInd w:val="0"/>
        <w:spacing w:after="0" w:line="240" w:lineRule="auto"/>
        <w:rPr>
          <w:sz w:val="16"/>
          <w:szCs w:val="16"/>
        </w:rPr>
      </w:pPr>
      <w:r w:rsidRPr="00502F8B">
        <w:rPr>
          <w:rStyle w:val="FootnoteReference"/>
          <w:sz w:val="16"/>
          <w:szCs w:val="16"/>
        </w:rPr>
        <w:footnoteRef/>
      </w:r>
      <w:proofErr w:type="spellStart"/>
      <w:r w:rsidRPr="00502F8B">
        <w:rPr>
          <w:rFonts w:ascii="Calibri" w:hAnsi="Calibri" w:cs="Calibri"/>
          <w:color w:val="000000"/>
          <w:sz w:val="16"/>
          <w:szCs w:val="16"/>
        </w:rPr>
        <w:t>Muraki</w:t>
      </w:r>
      <w:proofErr w:type="spellEnd"/>
      <w:r w:rsidRPr="00502F8B">
        <w:rPr>
          <w:rFonts w:ascii="Calibri" w:hAnsi="Calibri" w:cs="Calibri"/>
          <w:color w:val="000000"/>
          <w:sz w:val="16"/>
          <w:szCs w:val="16"/>
        </w:rPr>
        <w:t xml:space="preserve"> I, Imamura F, Manson JE, Hu FB, Willett WC, van Dam RM, &amp; Sun Q. (2013). Fruit Consumption and Risk of Type 2 Diabetes: Results from Three Prospective Longitudinal Cohort Studies. </w:t>
      </w:r>
      <w:r w:rsidRPr="00502F8B">
        <w:rPr>
          <w:rFonts w:ascii="Calibri" w:hAnsi="Calibri" w:cs="Calibri"/>
          <w:i/>
          <w:iCs/>
          <w:color w:val="000000"/>
          <w:sz w:val="16"/>
          <w:szCs w:val="16"/>
        </w:rPr>
        <w:t>British Medical Journal</w:t>
      </w:r>
      <w:r w:rsidRPr="00502F8B">
        <w:rPr>
          <w:rFonts w:ascii="Calibri" w:hAnsi="Calibri" w:cs="Calibri"/>
          <w:color w:val="000000"/>
          <w:sz w:val="16"/>
          <w:szCs w:val="16"/>
        </w:rPr>
        <w:t>, </w:t>
      </w:r>
      <w:r w:rsidRPr="00502F8B">
        <w:rPr>
          <w:rFonts w:ascii="Calibri" w:hAnsi="Calibri" w:cs="Calibri"/>
          <w:i/>
          <w:iCs/>
          <w:color w:val="000000"/>
          <w:sz w:val="16"/>
          <w:szCs w:val="16"/>
        </w:rPr>
        <w:t>347</w:t>
      </w:r>
      <w:r w:rsidRPr="00502F8B">
        <w:rPr>
          <w:rFonts w:ascii="Calibri" w:hAnsi="Calibri" w:cs="Calibri"/>
          <w:color w:val="000000"/>
          <w:sz w:val="16"/>
          <w:szCs w:val="16"/>
        </w:rPr>
        <w:t>, f5001.</w:t>
      </w:r>
    </w:p>
  </w:footnote>
  <w:footnote w:id="12">
    <w:p w14:paraId="32174F2F" w14:textId="254A431D"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w:t>
      </w:r>
      <w:proofErr w:type="spellStart"/>
      <w:r w:rsidRPr="00502F8B">
        <w:rPr>
          <w:sz w:val="16"/>
          <w:szCs w:val="16"/>
        </w:rPr>
        <w:t>Fulgoni</w:t>
      </w:r>
      <w:proofErr w:type="spellEnd"/>
      <w:r w:rsidRPr="00502F8B">
        <w:rPr>
          <w:sz w:val="16"/>
          <w:szCs w:val="16"/>
        </w:rPr>
        <w:t xml:space="preserve"> III VL &amp; </w:t>
      </w:r>
      <w:proofErr w:type="spellStart"/>
      <w:r w:rsidRPr="00502F8B">
        <w:rPr>
          <w:sz w:val="16"/>
          <w:szCs w:val="16"/>
        </w:rPr>
        <w:t>Quann</w:t>
      </w:r>
      <w:proofErr w:type="spellEnd"/>
      <w:r w:rsidRPr="00502F8B">
        <w:rPr>
          <w:sz w:val="16"/>
          <w:szCs w:val="16"/>
        </w:rPr>
        <w:t xml:space="preserve"> EE. (2012). National Trends in Beverage Consumption in Children from Birth to 5 Years: Analysis of NHANES across Three Decades. </w:t>
      </w:r>
      <w:r w:rsidRPr="00502F8B">
        <w:rPr>
          <w:i/>
          <w:sz w:val="16"/>
          <w:szCs w:val="16"/>
        </w:rPr>
        <w:t>Nutrition Journal,</w:t>
      </w:r>
      <w:r w:rsidRPr="00502F8B">
        <w:rPr>
          <w:sz w:val="16"/>
          <w:szCs w:val="16"/>
        </w:rPr>
        <w:t xml:space="preserve"> 1-11.</w:t>
      </w:r>
    </w:p>
  </w:footnote>
  <w:footnote w:id="13">
    <w:p w14:paraId="43459C7C" w14:textId="1AAE860A"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Beck AL, Patel A, &amp; Madsen K. (2013) Trends in Sugar-Sweetened Beverage and 100% Fruit Juice Consumption among California Children. </w:t>
      </w:r>
      <w:r w:rsidRPr="00502F8B">
        <w:rPr>
          <w:i/>
          <w:sz w:val="16"/>
          <w:szCs w:val="16"/>
        </w:rPr>
        <w:t>Academic Pediatrics</w:t>
      </w:r>
      <w:r w:rsidRPr="00502F8B">
        <w:rPr>
          <w:sz w:val="16"/>
          <w:szCs w:val="16"/>
        </w:rPr>
        <w:t>, 364-370.</w:t>
      </w:r>
    </w:p>
  </w:footnote>
  <w:footnote w:id="14">
    <w:p w14:paraId="7F14C1C3" w14:textId="4C656EA9"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Rader, see footnote #1.</w:t>
      </w:r>
    </w:p>
  </w:footnote>
  <w:footnote w:id="15">
    <w:p w14:paraId="7BE4026A" w14:textId="7DBFB399" w:rsidR="004C7DDC" w:rsidRDefault="004C7DDC">
      <w:pPr>
        <w:pStyle w:val="FootnoteText"/>
      </w:pPr>
      <w:r w:rsidRPr="00502F8B">
        <w:rPr>
          <w:rStyle w:val="FootnoteReference"/>
          <w:sz w:val="16"/>
          <w:szCs w:val="16"/>
        </w:rPr>
        <w:footnoteRef/>
      </w:r>
      <w:r w:rsidRPr="00502F8B">
        <w:rPr>
          <w:sz w:val="16"/>
          <w:szCs w:val="16"/>
        </w:rPr>
        <w:t xml:space="preserve"> </w:t>
      </w:r>
      <w:r w:rsidRPr="00502F8B">
        <w:rPr>
          <w:rFonts w:ascii="Calibri" w:hAnsi="Calibri" w:cs="Calibri"/>
          <w:color w:val="000000"/>
          <w:sz w:val="16"/>
          <w:szCs w:val="16"/>
        </w:rPr>
        <w:t>U.S. Department of Agriculture &amp; U.S. Department of Health and Human Services, see footnote #2.</w:t>
      </w:r>
    </w:p>
  </w:footnote>
  <w:footnote w:id="16">
    <w:p w14:paraId="609115CA" w14:textId="5E669520"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American Academy of Pediatrics: Committee on Nutrition. (2001). </w:t>
      </w:r>
      <w:proofErr w:type="gramStart"/>
      <w:r w:rsidRPr="00502F8B">
        <w:rPr>
          <w:sz w:val="16"/>
          <w:szCs w:val="16"/>
        </w:rPr>
        <w:t>The</w:t>
      </w:r>
      <w:proofErr w:type="gramEnd"/>
      <w:r w:rsidRPr="00502F8B">
        <w:rPr>
          <w:sz w:val="16"/>
          <w:szCs w:val="16"/>
        </w:rPr>
        <w:t xml:space="preserve"> Use and Misuse of Fruit Juice in Pediatrics. </w:t>
      </w:r>
      <w:r w:rsidRPr="00502F8B">
        <w:rPr>
          <w:i/>
          <w:sz w:val="16"/>
          <w:szCs w:val="16"/>
        </w:rPr>
        <w:t>Pediatrics</w:t>
      </w:r>
      <w:r w:rsidRPr="00502F8B">
        <w:rPr>
          <w:sz w:val="16"/>
          <w:szCs w:val="16"/>
        </w:rPr>
        <w:t>, 1210-1213.</w:t>
      </w:r>
    </w:p>
  </w:footnote>
  <w:footnote w:id="17">
    <w:p w14:paraId="38FDD0EE" w14:textId="4C56E523"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Evans EW, Hayes C, Palmer CA, et al. (2013). Dietary Intake and Severe Early Childhood Caries in Low-Income, Young Children. </w:t>
      </w:r>
      <w:r w:rsidRPr="00502F8B">
        <w:rPr>
          <w:i/>
          <w:sz w:val="16"/>
          <w:szCs w:val="16"/>
        </w:rPr>
        <w:t>Journal of the Academy of Nutrition and Dietetics</w:t>
      </w:r>
      <w:r w:rsidRPr="00502F8B">
        <w:rPr>
          <w:sz w:val="16"/>
          <w:szCs w:val="16"/>
        </w:rPr>
        <w:t>, 1057-1061.</w:t>
      </w:r>
    </w:p>
  </w:footnote>
  <w:footnote w:id="18">
    <w:p w14:paraId="7C451F89" w14:textId="2B53500C"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Mattes R. (2006). Fluid Calories and Energy Balance: the Good, the Bad, and the Uncertain. </w:t>
      </w:r>
      <w:r w:rsidRPr="00D2087C">
        <w:rPr>
          <w:i/>
          <w:sz w:val="16"/>
          <w:szCs w:val="16"/>
        </w:rPr>
        <w:t>Physiology &amp; Behavior</w:t>
      </w:r>
      <w:r w:rsidRPr="00EC16BA">
        <w:rPr>
          <w:sz w:val="16"/>
          <w:szCs w:val="16"/>
        </w:rPr>
        <w:t>, 66-70.</w:t>
      </w:r>
    </w:p>
  </w:footnote>
  <w:footnote w:id="19">
    <w:p w14:paraId="02D7CC40" w14:textId="45E989AB"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Reid M, </w:t>
      </w:r>
      <w:proofErr w:type="spellStart"/>
      <w:r w:rsidRPr="00EC16BA">
        <w:rPr>
          <w:sz w:val="16"/>
          <w:szCs w:val="16"/>
        </w:rPr>
        <w:t>Hammersley</w:t>
      </w:r>
      <w:proofErr w:type="spellEnd"/>
      <w:r w:rsidRPr="00EC16BA">
        <w:rPr>
          <w:sz w:val="16"/>
          <w:szCs w:val="16"/>
        </w:rPr>
        <w:t xml:space="preserve"> R, Duffy M, et al. (2014) Effects on Obese Women of the Sugar Sucrose Added to the Diet Over a Quasi-Randomized, Single-Blind, Controlled Trial. </w:t>
      </w:r>
      <w:r w:rsidRPr="00EC16BA">
        <w:rPr>
          <w:i/>
          <w:sz w:val="16"/>
          <w:szCs w:val="16"/>
        </w:rPr>
        <w:t xml:space="preserve">British Journal of Nutrition, </w:t>
      </w:r>
      <w:r w:rsidRPr="00EC16BA">
        <w:rPr>
          <w:sz w:val="16"/>
          <w:szCs w:val="16"/>
        </w:rPr>
        <w:t>563-70.</w:t>
      </w:r>
    </w:p>
  </w:footnote>
  <w:footnote w:id="20">
    <w:p w14:paraId="2BC361EF" w14:textId="0FCF1BA3" w:rsidR="004C7DDC" w:rsidRPr="00EC16BA" w:rsidRDefault="004C7DDC" w:rsidP="00351410">
      <w:pPr>
        <w:pStyle w:val="FootnoteText"/>
        <w:rPr>
          <w:sz w:val="16"/>
          <w:szCs w:val="16"/>
        </w:rPr>
      </w:pPr>
      <w:r w:rsidRPr="00EC16BA">
        <w:rPr>
          <w:rStyle w:val="FootnoteReference"/>
          <w:sz w:val="16"/>
          <w:szCs w:val="16"/>
        </w:rPr>
        <w:footnoteRef/>
      </w:r>
      <w:r w:rsidRPr="00EC16BA">
        <w:rPr>
          <w:sz w:val="16"/>
          <w:szCs w:val="16"/>
        </w:rPr>
        <w:t xml:space="preserve"> </w:t>
      </w:r>
      <w:proofErr w:type="spellStart"/>
      <w:r>
        <w:rPr>
          <w:rFonts w:ascii="Calibri" w:hAnsi="Calibri" w:cs="Calibri"/>
          <w:color w:val="000000"/>
          <w:sz w:val="16"/>
          <w:szCs w:val="16"/>
        </w:rPr>
        <w:t>DiMeglio</w:t>
      </w:r>
      <w:proofErr w:type="spellEnd"/>
      <w:r>
        <w:rPr>
          <w:rFonts w:ascii="Calibri" w:hAnsi="Calibri" w:cs="Calibri"/>
          <w:color w:val="000000"/>
          <w:sz w:val="16"/>
          <w:szCs w:val="16"/>
        </w:rPr>
        <w:t xml:space="preserve"> DP &amp;</w:t>
      </w:r>
      <w:r w:rsidRPr="00EC16BA">
        <w:rPr>
          <w:rFonts w:ascii="Calibri" w:hAnsi="Calibri" w:cs="Calibri"/>
          <w:color w:val="000000"/>
          <w:sz w:val="16"/>
          <w:szCs w:val="16"/>
        </w:rPr>
        <w:t xml:space="preserve"> Mattes RD. (2004). Liquid versus Solid Carbohydrate: Effects on Food Intake and Body Weight. </w:t>
      </w:r>
      <w:r w:rsidRPr="00EC16BA">
        <w:rPr>
          <w:rFonts w:ascii="Calibri" w:hAnsi="Calibri" w:cs="Calibri"/>
          <w:i/>
          <w:iCs/>
          <w:color w:val="000000"/>
          <w:sz w:val="16"/>
          <w:szCs w:val="16"/>
        </w:rPr>
        <w:t xml:space="preserve">International Journal of Obesity, </w:t>
      </w:r>
      <w:r w:rsidRPr="00EC16BA">
        <w:rPr>
          <w:rFonts w:ascii="Calibri" w:hAnsi="Calibri" w:cs="Calibri"/>
          <w:color w:val="000000"/>
          <w:sz w:val="16"/>
          <w:szCs w:val="16"/>
        </w:rPr>
        <w:t>794-800.</w:t>
      </w:r>
    </w:p>
  </w:footnote>
  <w:footnote w:id="21">
    <w:p w14:paraId="7CD75E67" w14:textId="1135B365"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Institute of Medicine, see footnote #10.</w:t>
      </w:r>
    </w:p>
  </w:footnote>
  <w:footnote w:id="22">
    <w:p w14:paraId="56A69A05" w14:textId="5521BC72" w:rsidR="004C7DDC" w:rsidRPr="004A670C" w:rsidRDefault="004C7DDC">
      <w:pPr>
        <w:pStyle w:val="FootnoteText"/>
        <w:rPr>
          <w:sz w:val="16"/>
          <w:szCs w:val="16"/>
        </w:rPr>
      </w:pPr>
      <w:r w:rsidRPr="00213362">
        <w:rPr>
          <w:rStyle w:val="FootnoteReference"/>
          <w:sz w:val="16"/>
          <w:szCs w:val="16"/>
        </w:rPr>
        <w:footnoteRef/>
      </w:r>
      <w:r w:rsidRPr="00213362">
        <w:rPr>
          <w:sz w:val="16"/>
          <w:szCs w:val="16"/>
        </w:rPr>
        <w:t xml:space="preserve"> Healthy Eating Research. (2013). Recommendations for Healthier Beverages. Retrieved from:</w:t>
      </w:r>
      <w:r w:rsidRPr="004A670C">
        <w:rPr>
          <w:sz w:val="16"/>
          <w:szCs w:val="16"/>
        </w:rPr>
        <w:t xml:space="preserve"> </w:t>
      </w:r>
      <w:hyperlink r:id="rId3" w:history="1">
        <w:r w:rsidRPr="004A670C">
          <w:rPr>
            <w:rStyle w:val="Hyperlink"/>
            <w:sz w:val="16"/>
            <w:szCs w:val="16"/>
          </w:rPr>
          <w:t>http://www.rwjf.org/content/dam/farm/reports/issue_briefs/2013/rwjf404852</w:t>
        </w:r>
      </w:hyperlink>
      <w:r w:rsidRPr="004A670C">
        <w:rPr>
          <w:sz w:val="16"/>
          <w:szCs w:val="16"/>
        </w:rPr>
        <w:t>. Accessed on April 2, 2015.</w:t>
      </w:r>
    </w:p>
  </w:footnote>
  <w:footnote w:id="23">
    <w:p w14:paraId="2A4324EA" w14:textId="2130970F"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w:t>
      </w:r>
      <w:r w:rsidRPr="00EC16BA">
        <w:rPr>
          <w:bCs/>
          <w:sz w:val="16"/>
          <w:szCs w:val="16"/>
        </w:rPr>
        <w:t>National Resource Center for Health and Safety in Child Care and Early Education</w:t>
      </w:r>
      <w:r w:rsidRPr="00EC16BA">
        <w:rPr>
          <w:sz w:val="16"/>
          <w:szCs w:val="16"/>
        </w:rPr>
        <w:t xml:space="preserve"> </w:t>
      </w:r>
      <w:r w:rsidRPr="00EC16BA">
        <w:rPr>
          <w:rFonts w:ascii="Calibri" w:hAnsi="Calibri" w:cs="Calibri"/>
          <w:color w:val="000000"/>
          <w:sz w:val="16"/>
          <w:szCs w:val="16"/>
        </w:rPr>
        <w:t xml:space="preserve">(2015). </w:t>
      </w:r>
      <w:r w:rsidRPr="00EC16BA">
        <w:rPr>
          <w:rFonts w:ascii="Calibri" w:hAnsi="Calibri" w:cs="Calibri"/>
          <w:i/>
          <w:iCs/>
          <w:color w:val="000000"/>
          <w:sz w:val="16"/>
          <w:szCs w:val="16"/>
        </w:rPr>
        <w:t>North Carolina Regulations</w:t>
      </w:r>
      <w:r w:rsidRPr="00EC16BA">
        <w:rPr>
          <w:rFonts w:ascii="Calibri" w:hAnsi="Calibri" w:cs="Calibri"/>
          <w:color w:val="000000"/>
          <w:sz w:val="16"/>
          <w:szCs w:val="16"/>
        </w:rPr>
        <w:t xml:space="preserve">. Retrieved from Improving the Quality of Out-Of-Home Child Care and Early Education: </w:t>
      </w:r>
      <w:hyperlink r:id="rId4" w:history="1">
        <w:r w:rsidRPr="00EC16BA">
          <w:rPr>
            <w:rStyle w:val="Hyperlink"/>
            <w:rFonts w:ascii="Calibri" w:hAnsi="Calibri" w:cs="Calibri"/>
            <w:sz w:val="16"/>
            <w:szCs w:val="16"/>
          </w:rPr>
          <w:t>http://nrckids.org/default/assets/File/StateRegs/NC/March%202015%20DCDEE%20Rulebook.pdf</w:t>
        </w:r>
      </w:hyperlink>
      <w:r w:rsidRPr="00EC16BA">
        <w:rPr>
          <w:rFonts w:ascii="Calibri" w:hAnsi="Calibri" w:cs="Calibri"/>
          <w:color w:val="000000"/>
          <w:sz w:val="16"/>
          <w:szCs w:val="16"/>
        </w:rPr>
        <w:t>. Accessed April 2, 2015.</w:t>
      </w:r>
    </w:p>
  </w:footnote>
  <w:footnote w:id="24">
    <w:p w14:paraId="0C118BAC" w14:textId="3A884448" w:rsidR="004C7DDC" w:rsidRPr="00135BB5" w:rsidRDefault="004C7DDC">
      <w:pPr>
        <w:pStyle w:val="FootnoteText"/>
        <w:rPr>
          <w:sz w:val="16"/>
          <w:szCs w:val="16"/>
        </w:rPr>
      </w:pPr>
      <w:r w:rsidRPr="00135BB5">
        <w:rPr>
          <w:rStyle w:val="FootnoteReference"/>
          <w:sz w:val="16"/>
          <w:szCs w:val="16"/>
        </w:rPr>
        <w:footnoteRef/>
      </w:r>
      <w:r w:rsidRPr="00135BB5">
        <w:rPr>
          <w:sz w:val="16"/>
          <w:szCs w:val="16"/>
        </w:rPr>
        <w:t xml:space="preserve"> Food Research and Action Center. CACFP Best Practice Case Study. Retrieved from: </w:t>
      </w:r>
      <w:hyperlink r:id="rId5" w:history="1">
        <w:r w:rsidRPr="00135BB5">
          <w:rPr>
            <w:rStyle w:val="Hyperlink"/>
            <w:sz w:val="16"/>
            <w:szCs w:val="16"/>
          </w:rPr>
          <w:t>http://frac.org/pdf/cacfp_case_study_florida_higher_standards.pdf</w:t>
        </w:r>
      </w:hyperlink>
      <w:r w:rsidRPr="00135BB5">
        <w:rPr>
          <w:sz w:val="16"/>
          <w:szCs w:val="16"/>
        </w:rPr>
        <w:t>. Accessed on April 6, 2015.</w:t>
      </w:r>
    </w:p>
  </w:footnote>
  <w:footnote w:id="25">
    <w:p w14:paraId="6CEBF88D" w14:textId="51309307"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4 O'Neil CE, </w:t>
      </w:r>
      <w:proofErr w:type="spellStart"/>
      <w:r w:rsidRPr="00EC16BA">
        <w:rPr>
          <w:sz w:val="16"/>
          <w:szCs w:val="16"/>
        </w:rPr>
        <w:t>Nicklas</w:t>
      </w:r>
      <w:proofErr w:type="spellEnd"/>
      <w:r w:rsidRPr="00EC16BA">
        <w:rPr>
          <w:sz w:val="16"/>
          <w:szCs w:val="16"/>
        </w:rPr>
        <w:t xml:space="preserve"> TA, </w:t>
      </w:r>
      <w:proofErr w:type="spellStart"/>
      <w:r w:rsidRPr="00EC16BA">
        <w:rPr>
          <w:sz w:val="16"/>
          <w:szCs w:val="16"/>
        </w:rPr>
        <w:t>Zanovec</w:t>
      </w:r>
      <w:proofErr w:type="spellEnd"/>
      <w:r w:rsidRPr="00EC16BA">
        <w:rPr>
          <w:sz w:val="16"/>
          <w:szCs w:val="16"/>
        </w:rPr>
        <w:t xml:space="preserve"> M, et al. (2011). Consumption of Whole Grains is associated with Improved Diet Quality and Nutrient Intake in Children and Adolescents: the National Health and Nutrition Examination Survey 1999-2004. </w:t>
      </w:r>
      <w:r w:rsidRPr="00EC16BA">
        <w:rPr>
          <w:i/>
          <w:sz w:val="16"/>
          <w:szCs w:val="16"/>
        </w:rPr>
        <w:t>Public Health Nutrition</w:t>
      </w:r>
      <w:r w:rsidRPr="00EC16BA">
        <w:rPr>
          <w:sz w:val="16"/>
          <w:szCs w:val="16"/>
        </w:rPr>
        <w:t>, 347-55.</w:t>
      </w:r>
    </w:p>
  </w:footnote>
  <w:footnote w:id="26">
    <w:p w14:paraId="33AB32DF" w14:textId="3DC273C9"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w:t>
      </w:r>
      <w:proofErr w:type="spellStart"/>
      <w:r w:rsidRPr="00EC16BA">
        <w:rPr>
          <w:sz w:val="16"/>
          <w:szCs w:val="16"/>
        </w:rPr>
        <w:t>Reicks</w:t>
      </w:r>
      <w:proofErr w:type="spellEnd"/>
      <w:r w:rsidRPr="00EC16BA">
        <w:rPr>
          <w:sz w:val="16"/>
          <w:szCs w:val="16"/>
        </w:rPr>
        <w:t xml:space="preserve"> M, </w:t>
      </w:r>
      <w:proofErr w:type="spellStart"/>
      <w:r w:rsidRPr="00EC16BA">
        <w:rPr>
          <w:sz w:val="16"/>
          <w:szCs w:val="16"/>
        </w:rPr>
        <w:t>Jonnalagadda</w:t>
      </w:r>
      <w:proofErr w:type="spellEnd"/>
      <w:r w:rsidRPr="00EC16BA">
        <w:rPr>
          <w:sz w:val="16"/>
          <w:szCs w:val="16"/>
        </w:rPr>
        <w:t xml:space="preserve"> S, Albertson AM,</w:t>
      </w:r>
      <w:r>
        <w:rPr>
          <w:sz w:val="16"/>
          <w:szCs w:val="16"/>
        </w:rPr>
        <w:t xml:space="preserve"> &amp;</w:t>
      </w:r>
      <w:r w:rsidRPr="00EC16BA">
        <w:rPr>
          <w:sz w:val="16"/>
          <w:szCs w:val="16"/>
        </w:rPr>
        <w:t xml:space="preserve"> Joshi N. (2014). Total Dietary Fiber Intakes in the U.S. Population are related to Whole Grain Consumption: Results from the National Health and Nutrition Examination Survey 2009-2010</w:t>
      </w:r>
      <w:r w:rsidRPr="00EC16BA">
        <w:rPr>
          <w:i/>
          <w:sz w:val="16"/>
          <w:szCs w:val="16"/>
        </w:rPr>
        <w:t>. Nutrition Research</w:t>
      </w:r>
      <w:r w:rsidRPr="00EC16BA">
        <w:rPr>
          <w:sz w:val="16"/>
          <w:szCs w:val="16"/>
        </w:rPr>
        <w:t>, 226-34.</w:t>
      </w:r>
    </w:p>
  </w:footnote>
  <w:footnote w:id="27">
    <w:p w14:paraId="49CB579F" w14:textId="6F3FD2DC" w:rsidR="004C7DDC" w:rsidRPr="00EC16BA" w:rsidRDefault="004C7DDC">
      <w:pPr>
        <w:pStyle w:val="FootnoteText"/>
        <w:rPr>
          <w:sz w:val="16"/>
          <w:szCs w:val="16"/>
        </w:rPr>
      </w:pPr>
      <w:r w:rsidRPr="00EC16BA">
        <w:rPr>
          <w:rStyle w:val="FootnoteReference"/>
          <w:sz w:val="16"/>
          <w:szCs w:val="16"/>
        </w:rPr>
        <w:footnoteRef/>
      </w:r>
      <w:r>
        <w:rPr>
          <w:sz w:val="16"/>
          <w:szCs w:val="16"/>
        </w:rPr>
        <w:t xml:space="preserve"> Harland JI &amp;</w:t>
      </w:r>
      <w:r w:rsidRPr="00EC16BA">
        <w:rPr>
          <w:sz w:val="16"/>
          <w:szCs w:val="16"/>
        </w:rPr>
        <w:t xml:space="preserve"> </w:t>
      </w:r>
      <w:proofErr w:type="spellStart"/>
      <w:r w:rsidRPr="00EC16BA">
        <w:rPr>
          <w:sz w:val="16"/>
          <w:szCs w:val="16"/>
        </w:rPr>
        <w:t>Garton</w:t>
      </w:r>
      <w:proofErr w:type="spellEnd"/>
      <w:r w:rsidRPr="00EC16BA">
        <w:rPr>
          <w:sz w:val="16"/>
          <w:szCs w:val="16"/>
        </w:rPr>
        <w:t xml:space="preserve"> LE. (2008). Whole-Grain Intake as a Marker of Healthy Body Weight and Adiposity. </w:t>
      </w:r>
      <w:r w:rsidRPr="00EC16BA">
        <w:rPr>
          <w:i/>
          <w:sz w:val="16"/>
          <w:szCs w:val="16"/>
        </w:rPr>
        <w:t>Public Health Nutrition</w:t>
      </w:r>
      <w:r w:rsidRPr="00EC16BA">
        <w:rPr>
          <w:sz w:val="16"/>
          <w:szCs w:val="16"/>
        </w:rPr>
        <w:t>, 554-</w:t>
      </w:r>
      <w:r>
        <w:rPr>
          <w:sz w:val="16"/>
          <w:szCs w:val="16"/>
        </w:rPr>
        <w:t>5</w:t>
      </w:r>
      <w:r w:rsidRPr="00EC16BA">
        <w:rPr>
          <w:sz w:val="16"/>
          <w:szCs w:val="16"/>
        </w:rPr>
        <w:t>63</w:t>
      </w:r>
      <w:r>
        <w:rPr>
          <w:sz w:val="16"/>
          <w:szCs w:val="16"/>
        </w:rPr>
        <w:t>.</w:t>
      </w:r>
    </w:p>
  </w:footnote>
  <w:footnote w:id="28">
    <w:p w14:paraId="18ED5AF6" w14:textId="35975C4D"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Harrold J, </w:t>
      </w:r>
      <w:proofErr w:type="spellStart"/>
      <w:r w:rsidRPr="00EC16BA">
        <w:rPr>
          <w:sz w:val="16"/>
          <w:szCs w:val="16"/>
        </w:rPr>
        <w:t>Breslin</w:t>
      </w:r>
      <w:proofErr w:type="spellEnd"/>
      <w:r w:rsidRPr="00EC16BA">
        <w:rPr>
          <w:sz w:val="16"/>
          <w:szCs w:val="16"/>
        </w:rPr>
        <w:t xml:space="preserve"> L, Walsh J, et al. (2014). Satiety Effects of a Whole-Grain Fiber Composite Ingredient: Reduced Food Intake and Appetite Ratings. </w:t>
      </w:r>
      <w:r w:rsidRPr="00EC16BA">
        <w:rPr>
          <w:i/>
          <w:sz w:val="16"/>
          <w:szCs w:val="16"/>
        </w:rPr>
        <w:t>Food &amp; Function</w:t>
      </w:r>
      <w:r w:rsidRPr="00EC16BA">
        <w:rPr>
          <w:sz w:val="16"/>
          <w:szCs w:val="16"/>
        </w:rPr>
        <w:t>, 2574-</w:t>
      </w:r>
      <w:r>
        <w:rPr>
          <w:sz w:val="16"/>
          <w:szCs w:val="16"/>
        </w:rPr>
        <w:t>25</w:t>
      </w:r>
      <w:r w:rsidRPr="00EC16BA">
        <w:rPr>
          <w:sz w:val="16"/>
          <w:szCs w:val="16"/>
        </w:rPr>
        <w:t>81.</w:t>
      </w:r>
    </w:p>
  </w:footnote>
  <w:footnote w:id="29">
    <w:p w14:paraId="64C74DEE" w14:textId="5C910C97"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w:t>
      </w:r>
      <w:proofErr w:type="spellStart"/>
      <w:r w:rsidRPr="00EC16BA">
        <w:rPr>
          <w:sz w:val="16"/>
          <w:szCs w:val="16"/>
        </w:rPr>
        <w:t>Choumenkovitch</w:t>
      </w:r>
      <w:proofErr w:type="spellEnd"/>
      <w:r w:rsidRPr="00EC16BA">
        <w:rPr>
          <w:sz w:val="16"/>
          <w:szCs w:val="16"/>
        </w:rPr>
        <w:t xml:space="preserve"> SF, </w:t>
      </w:r>
      <w:proofErr w:type="spellStart"/>
      <w:r w:rsidRPr="00EC16BA">
        <w:rPr>
          <w:sz w:val="16"/>
          <w:szCs w:val="16"/>
        </w:rPr>
        <w:t>McKeown</w:t>
      </w:r>
      <w:proofErr w:type="spellEnd"/>
      <w:r w:rsidRPr="00EC16BA">
        <w:rPr>
          <w:sz w:val="16"/>
          <w:szCs w:val="16"/>
        </w:rPr>
        <w:t xml:space="preserve"> NM, Tovar A, et al. (2013). Whole Grain Consumption is Inversely Associated with BMI Z-score in Rural School-Aged Children. </w:t>
      </w:r>
      <w:r w:rsidRPr="00EC16BA">
        <w:rPr>
          <w:i/>
          <w:sz w:val="16"/>
          <w:szCs w:val="16"/>
        </w:rPr>
        <w:t>Public Health Nutrition</w:t>
      </w:r>
      <w:r w:rsidRPr="00EC16BA">
        <w:rPr>
          <w:sz w:val="16"/>
          <w:szCs w:val="16"/>
        </w:rPr>
        <w:t>. 212-218.</w:t>
      </w:r>
    </w:p>
  </w:footnote>
  <w:footnote w:id="30">
    <w:p w14:paraId="4D059700" w14:textId="701715B0" w:rsidR="004C7DDC" w:rsidRPr="00EC16BA" w:rsidRDefault="004C7DDC">
      <w:pPr>
        <w:pStyle w:val="FootnoteText"/>
        <w:rPr>
          <w:sz w:val="16"/>
          <w:szCs w:val="16"/>
        </w:rPr>
      </w:pPr>
      <w:r w:rsidRPr="00EC16BA">
        <w:rPr>
          <w:rStyle w:val="FootnoteReference"/>
          <w:sz w:val="16"/>
          <w:szCs w:val="16"/>
        </w:rPr>
        <w:footnoteRef/>
      </w:r>
      <w:r>
        <w:rPr>
          <w:sz w:val="16"/>
          <w:szCs w:val="16"/>
        </w:rPr>
        <w:t xml:space="preserve"> </w:t>
      </w:r>
      <w:proofErr w:type="spellStart"/>
      <w:r>
        <w:rPr>
          <w:sz w:val="16"/>
          <w:szCs w:val="16"/>
        </w:rPr>
        <w:t>Thielecke</w:t>
      </w:r>
      <w:proofErr w:type="spellEnd"/>
      <w:r>
        <w:rPr>
          <w:sz w:val="16"/>
          <w:szCs w:val="16"/>
        </w:rPr>
        <w:t xml:space="preserve"> F &amp; </w:t>
      </w:r>
      <w:proofErr w:type="spellStart"/>
      <w:r w:rsidRPr="00EC16BA">
        <w:rPr>
          <w:sz w:val="16"/>
          <w:szCs w:val="16"/>
        </w:rPr>
        <w:t>Jonnalagadda</w:t>
      </w:r>
      <w:proofErr w:type="spellEnd"/>
      <w:r w:rsidRPr="00EC16BA">
        <w:rPr>
          <w:sz w:val="16"/>
          <w:szCs w:val="16"/>
        </w:rPr>
        <w:t xml:space="preserve"> SS. (2014). Can Whole Grain Help in Weight Management? </w:t>
      </w:r>
      <w:r w:rsidRPr="00EC16BA">
        <w:rPr>
          <w:i/>
          <w:sz w:val="16"/>
          <w:szCs w:val="16"/>
        </w:rPr>
        <w:t>Journal of Clinical Gastroenterology</w:t>
      </w:r>
      <w:r w:rsidRPr="00EC16BA">
        <w:rPr>
          <w:sz w:val="16"/>
          <w:szCs w:val="16"/>
        </w:rPr>
        <w:t>, S70-77.</w:t>
      </w:r>
    </w:p>
  </w:footnote>
  <w:footnote w:id="31">
    <w:p w14:paraId="1A70A7D5" w14:textId="760B2AE1"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w:t>
      </w:r>
      <w:proofErr w:type="spellStart"/>
      <w:r w:rsidRPr="00EC16BA">
        <w:rPr>
          <w:sz w:val="16"/>
          <w:szCs w:val="16"/>
        </w:rPr>
        <w:t>Slavin</w:t>
      </w:r>
      <w:proofErr w:type="spellEnd"/>
      <w:r w:rsidRPr="00EC16BA">
        <w:rPr>
          <w:sz w:val="16"/>
          <w:szCs w:val="16"/>
        </w:rPr>
        <w:t xml:space="preserve"> JL, Jacobs D, </w:t>
      </w:r>
      <w:proofErr w:type="spellStart"/>
      <w:r w:rsidRPr="00EC16BA">
        <w:rPr>
          <w:sz w:val="16"/>
          <w:szCs w:val="16"/>
        </w:rPr>
        <w:t>Marquart</w:t>
      </w:r>
      <w:proofErr w:type="spellEnd"/>
      <w:r w:rsidRPr="00EC16BA">
        <w:rPr>
          <w:sz w:val="16"/>
          <w:szCs w:val="16"/>
        </w:rPr>
        <w:t xml:space="preserve"> L, et al. (2001). The Role of Whole Grains in Disease Prevention. </w:t>
      </w:r>
      <w:r w:rsidRPr="00EC16BA">
        <w:rPr>
          <w:i/>
          <w:sz w:val="16"/>
          <w:szCs w:val="16"/>
        </w:rPr>
        <w:t>Journal of the Academy of Nutrition and Dietetics</w:t>
      </w:r>
      <w:r w:rsidRPr="00EC16BA">
        <w:rPr>
          <w:sz w:val="16"/>
          <w:szCs w:val="16"/>
        </w:rPr>
        <w:t>, 780-785.</w:t>
      </w:r>
    </w:p>
  </w:footnote>
  <w:footnote w:id="32">
    <w:p w14:paraId="6EE34BA6" w14:textId="05585473"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Williams PG. (2014). The Benefits of Breakfast Cereal Consumption: a Systematic Review of the Evidence Base. </w:t>
      </w:r>
      <w:r w:rsidRPr="00EC16BA">
        <w:rPr>
          <w:i/>
          <w:sz w:val="16"/>
          <w:szCs w:val="16"/>
        </w:rPr>
        <w:t>Advances in Nutrition</w:t>
      </w:r>
      <w:r w:rsidRPr="00EC16BA">
        <w:rPr>
          <w:sz w:val="16"/>
          <w:szCs w:val="16"/>
        </w:rPr>
        <w:t>, 636S-</w:t>
      </w:r>
      <w:r>
        <w:rPr>
          <w:sz w:val="16"/>
          <w:szCs w:val="16"/>
        </w:rPr>
        <w:t>6</w:t>
      </w:r>
      <w:r w:rsidRPr="00EC16BA">
        <w:rPr>
          <w:sz w:val="16"/>
          <w:szCs w:val="16"/>
        </w:rPr>
        <w:t>73S.</w:t>
      </w:r>
    </w:p>
  </w:footnote>
  <w:footnote w:id="33">
    <w:p w14:paraId="38278CA6" w14:textId="4C6108C9" w:rsidR="004C7DDC" w:rsidRDefault="004C7DDC" w:rsidP="00DB3E1B">
      <w:pPr>
        <w:pStyle w:val="FootnoteText"/>
      </w:pPr>
      <w:r w:rsidRPr="00EC16BA">
        <w:rPr>
          <w:rStyle w:val="FootnoteReference"/>
          <w:sz w:val="16"/>
          <w:szCs w:val="16"/>
        </w:rPr>
        <w:footnoteRef/>
      </w:r>
      <w:r w:rsidRPr="00EC16BA">
        <w:rPr>
          <w:sz w:val="16"/>
          <w:szCs w:val="16"/>
        </w:rPr>
        <w:t xml:space="preserve"> Wang H, Lichtenstein AH, </w:t>
      </w:r>
      <w:proofErr w:type="spellStart"/>
      <w:r w:rsidRPr="00EC16BA">
        <w:rPr>
          <w:sz w:val="16"/>
          <w:szCs w:val="16"/>
        </w:rPr>
        <w:t>Lamon</w:t>
      </w:r>
      <w:proofErr w:type="spellEnd"/>
      <w:r w:rsidRPr="00EC16BA">
        <w:rPr>
          <w:sz w:val="16"/>
          <w:szCs w:val="16"/>
        </w:rPr>
        <w:t xml:space="preserve">-Fava S, Jacques PF. (2014). Association between Statin Use and Serum Cholesterol Concentrations is </w:t>
      </w:r>
      <w:proofErr w:type="gramStart"/>
      <w:r w:rsidRPr="00EC16BA">
        <w:rPr>
          <w:sz w:val="16"/>
          <w:szCs w:val="16"/>
        </w:rPr>
        <w:t>Modified</w:t>
      </w:r>
      <w:proofErr w:type="gramEnd"/>
      <w:r w:rsidRPr="00EC16BA">
        <w:rPr>
          <w:sz w:val="16"/>
          <w:szCs w:val="16"/>
        </w:rPr>
        <w:t xml:space="preserve"> by Whole-Grain Consumption: NHANES 2003-2006. </w:t>
      </w:r>
      <w:r w:rsidRPr="00EC16BA">
        <w:rPr>
          <w:i/>
          <w:sz w:val="16"/>
          <w:szCs w:val="16"/>
        </w:rPr>
        <w:t>American Journal Clinical Nutrition</w:t>
      </w:r>
      <w:r w:rsidRPr="00EC16BA">
        <w:rPr>
          <w:sz w:val="16"/>
          <w:szCs w:val="16"/>
        </w:rPr>
        <w:t>. 1149-1157.</w:t>
      </w:r>
    </w:p>
  </w:footnote>
  <w:footnote w:id="34">
    <w:p w14:paraId="20DA2521" w14:textId="410E83E0" w:rsidR="004C7DDC" w:rsidRPr="00EC16BA" w:rsidRDefault="004C7DDC" w:rsidP="007115DC">
      <w:pPr>
        <w:pStyle w:val="FootnoteText"/>
        <w:rPr>
          <w:sz w:val="16"/>
          <w:szCs w:val="16"/>
        </w:rPr>
      </w:pPr>
      <w:r w:rsidRPr="00EC16BA">
        <w:rPr>
          <w:rStyle w:val="FootnoteReference"/>
          <w:sz w:val="16"/>
          <w:szCs w:val="16"/>
        </w:rPr>
        <w:footnoteRef/>
      </w:r>
      <w:r w:rsidRPr="00EC16BA">
        <w:rPr>
          <w:sz w:val="16"/>
          <w:szCs w:val="16"/>
        </w:rPr>
        <w:t xml:space="preserve"> National Cancer Institute. (2015). Sources of Added Sugars in the Diets of the U.S. Population Ages 2 Years and Older, NHANES 2005–2006. </w:t>
      </w:r>
      <w:r w:rsidRPr="00EC16BA">
        <w:rPr>
          <w:i/>
          <w:sz w:val="16"/>
          <w:szCs w:val="16"/>
        </w:rPr>
        <w:t>Risk Factor Monitoring and Methods</w:t>
      </w:r>
      <w:r w:rsidRPr="00EC16BA">
        <w:rPr>
          <w:sz w:val="16"/>
          <w:szCs w:val="16"/>
        </w:rPr>
        <w:t xml:space="preserve">. Retrieved from: Cancer Control and Population Sciences: </w:t>
      </w:r>
      <w:hyperlink r:id="rId6" w:history="1">
        <w:r w:rsidRPr="00EC16BA">
          <w:rPr>
            <w:rStyle w:val="Hyperlink"/>
            <w:sz w:val="16"/>
            <w:szCs w:val="16"/>
          </w:rPr>
          <w:t>http://www.nccor.org/downloads/jada2010.pdf</w:t>
        </w:r>
      </w:hyperlink>
      <w:r w:rsidRPr="00EC16BA">
        <w:rPr>
          <w:sz w:val="16"/>
          <w:szCs w:val="16"/>
        </w:rPr>
        <w:t>. Accessed February 11, 2015.</w:t>
      </w:r>
    </w:p>
  </w:footnote>
  <w:footnote w:id="35">
    <w:p w14:paraId="6BCF2659" w14:textId="3A39BA49" w:rsidR="004C7DDC" w:rsidRPr="00EC16BA" w:rsidRDefault="004C7DDC" w:rsidP="001629E1">
      <w:pPr>
        <w:pStyle w:val="Default"/>
        <w:rPr>
          <w:rFonts w:cstheme="minorHAnsi"/>
          <w:sz w:val="16"/>
          <w:szCs w:val="16"/>
        </w:rPr>
      </w:pPr>
      <w:r w:rsidRPr="00EC16BA">
        <w:rPr>
          <w:rStyle w:val="FootnoteReference"/>
          <w:rFonts w:asciiTheme="minorHAnsi" w:hAnsiTheme="minorHAnsi" w:cstheme="minorHAnsi"/>
          <w:sz w:val="16"/>
          <w:szCs w:val="16"/>
        </w:rPr>
        <w:footnoteRef/>
      </w:r>
      <w:r w:rsidRPr="00EC16BA">
        <w:rPr>
          <w:rFonts w:asciiTheme="minorHAnsi" w:hAnsiTheme="minorHAnsi" w:cstheme="minorHAnsi"/>
          <w:sz w:val="16"/>
          <w:szCs w:val="16"/>
        </w:rPr>
        <w:t xml:space="preserve"> U.S. Department of Agriculture, Food and Nutrition Service. (2014). Questions &amp; Answers on the Final Rule, “Nutrition Standards in the National School Lunch and School Breakfast Programs.” Retrieved from:</w:t>
      </w:r>
    </w:p>
    <w:p w14:paraId="04FF097D" w14:textId="680E39F7" w:rsidR="004C7DDC" w:rsidRPr="00EC16BA" w:rsidRDefault="004C7DDC" w:rsidP="007115DC">
      <w:pPr>
        <w:pStyle w:val="FootnoteText"/>
        <w:rPr>
          <w:sz w:val="16"/>
          <w:szCs w:val="16"/>
        </w:rPr>
      </w:pPr>
      <w:r w:rsidRPr="00EC16BA">
        <w:rPr>
          <w:rFonts w:cstheme="minorHAnsi"/>
          <w:sz w:val="16"/>
          <w:szCs w:val="16"/>
        </w:rPr>
        <w:t xml:space="preserve"> </w:t>
      </w:r>
      <w:hyperlink r:id="rId7" w:history="1">
        <w:r w:rsidRPr="00EC16BA">
          <w:rPr>
            <w:rStyle w:val="Hyperlink"/>
            <w:rFonts w:cstheme="minorHAnsi"/>
            <w:sz w:val="16"/>
            <w:szCs w:val="16"/>
          </w:rPr>
          <w:t>http://www.fns.usda.gov/sites/default/files/SP10-2012v8os.pdf</w:t>
        </w:r>
      </w:hyperlink>
      <w:r w:rsidRPr="00EC16BA">
        <w:rPr>
          <w:sz w:val="16"/>
          <w:szCs w:val="16"/>
        </w:rPr>
        <w:t>. Accessed on April 2, 2015.</w:t>
      </w:r>
    </w:p>
  </w:footnote>
  <w:footnote w:id="36">
    <w:p w14:paraId="471BBC47" w14:textId="4529D157" w:rsidR="004C7DDC" w:rsidRDefault="004C7DDC">
      <w:pPr>
        <w:pStyle w:val="FootnoteText"/>
      </w:pPr>
      <w:r w:rsidRPr="00EC16BA">
        <w:rPr>
          <w:rStyle w:val="FootnoteReference"/>
          <w:sz w:val="16"/>
          <w:szCs w:val="16"/>
        </w:rPr>
        <w:footnoteRef/>
      </w:r>
      <w:r w:rsidRPr="00EC16BA">
        <w:rPr>
          <w:sz w:val="16"/>
          <w:szCs w:val="16"/>
        </w:rPr>
        <w:t xml:space="preserve"> U.S. Department of Agriculture &amp; U.S. Department of Health and Human Services. (2015). Scientific Report of the 2015 Dietary Guidelines Advisory Committee.  Retrieved from: </w:t>
      </w:r>
      <w:hyperlink r:id="rId8" w:history="1">
        <w:r w:rsidRPr="00EC16BA">
          <w:rPr>
            <w:rStyle w:val="Hyperlink"/>
            <w:sz w:val="16"/>
            <w:szCs w:val="16"/>
          </w:rPr>
          <w:t>http://health.gov/dietaryguidelines/2015-scientific-report/</w:t>
        </w:r>
      </w:hyperlink>
      <w:r w:rsidRPr="00EC16BA">
        <w:rPr>
          <w:sz w:val="16"/>
          <w:szCs w:val="16"/>
        </w:rPr>
        <w:t>. Accessed on April 2, 2015.</w:t>
      </w:r>
    </w:p>
  </w:footnote>
  <w:footnote w:id="37">
    <w:p w14:paraId="0E12CEA8" w14:textId="28AC75CD"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w:t>
      </w:r>
      <w:proofErr w:type="spellStart"/>
      <w:r w:rsidRPr="00EC16BA">
        <w:rPr>
          <w:sz w:val="16"/>
          <w:szCs w:val="16"/>
        </w:rPr>
        <w:t>Kranz</w:t>
      </w:r>
      <w:proofErr w:type="spellEnd"/>
      <w:r w:rsidRPr="00EC16BA">
        <w:rPr>
          <w:sz w:val="16"/>
          <w:szCs w:val="16"/>
        </w:rPr>
        <w:t xml:space="preserve"> S, Lin PJ, </w:t>
      </w:r>
      <w:r>
        <w:rPr>
          <w:sz w:val="16"/>
          <w:szCs w:val="16"/>
        </w:rPr>
        <w:t xml:space="preserve">&amp; </w:t>
      </w:r>
      <w:proofErr w:type="spellStart"/>
      <w:r w:rsidRPr="00EC16BA">
        <w:rPr>
          <w:sz w:val="16"/>
          <w:szCs w:val="16"/>
        </w:rPr>
        <w:t>Wagstaff</w:t>
      </w:r>
      <w:proofErr w:type="spellEnd"/>
      <w:r w:rsidRPr="00EC16BA">
        <w:rPr>
          <w:sz w:val="16"/>
          <w:szCs w:val="16"/>
        </w:rPr>
        <w:t xml:space="preserve"> DA. (2007). Children's Dairy Intake in the United States: too </w:t>
      </w:r>
      <w:proofErr w:type="gramStart"/>
      <w:r w:rsidRPr="00EC16BA">
        <w:rPr>
          <w:sz w:val="16"/>
          <w:szCs w:val="16"/>
        </w:rPr>
        <w:t>Little</w:t>
      </w:r>
      <w:proofErr w:type="gramEnd"/>
      <w:r w:rsidRPr="00EC16BA">
        <w:rPr>
          <w:sz w:val="16"/>
          <w:szCs w:val="16"/>
        </w:rPr>
        <w:t xml:space="preserve">, too Fat? </w:t>
      </w:r>
      <w:r w:rsidRPr="00EC16BA">
        <w:rPr>
          <w:i/>
          <w:sz w:val="16"/>
          <w:szCs w:val="16"/>
        </w:rPr>
        <w:t>Journal of Pediatrics</w:t>
      </w:r>
      <w:r w:rsidRPr="00EC16BA">
        <w:rPr>
          <w:sz w:val="16"/>
          <w:szCs w:val="16"/>
        </w:rPr>
        <w:t>, 642-646.</w:t>
      </w:r>
    </w:p>
  </w:footnote>
  <w:footnote w:id="38">
    <w:p w14:paraId="028EB4DD" w14:textId="7B3011E2" w:rsidR="004C7DDC" w:rsidRPr="00EC16BA" w:rsidRDefault="004C7DDC">
      <w:pPr>
        <w:pStyle w:val="FootnoteText"/>
        <w:rPr>
          <w:sz w:val="16"/>
          <w:szCs w:val="16"/>
        </w:rPr>
      </w:pPr>
      <w:r w:rsidRPr="00EC16BA">
        <w:rPr>
          <w:rStyle w:val="FootnoteReference"/>
          <w:sz w:val="16"/>
          <w:szCs w:val="16"/>
        </w:rPr>
        <w:footnoteRef/>
      </w:r>
      <w:r w:rsidRPr="00192C44">
        <w:rPr>
          <w:sz w:val="16"/>
          <w:szCs w:val="16"/>
          <w:lang w:val="es-ES_tradnl"/>
        </w:rPr>
        <w:t xml:space="preserve"> </w:t>
      </w:r>
      <w:proofErr w:type="spellStart"/>
      <w:r w:rsidRPr="00192C44">
        <w:rPr>
          <w:sz w:val="16"/>
          <w:szCs w:val="16"/>
          <w:lang w:val="es-ES_tradnl"/>
        </w:rPr>
        <w:t>Nicklas</w:t>
      </w:r>
      <w:proofErr w:type="spellEnd"/>
      <w:r w:rsidRPr="00192C44">
        <w:rPr>
          <w:sz w:val="16"/>
          <w:szCs w:val="16"/>
          <w:lang w:val="es-ES_tradnl"/>
        </w:rPr>
        <w:t xml:space="preserve"> TA, </w:t>
      </w:r>
      <w:proofErr w:type="spellStart"/>
      <w:r w:rsidRPr="00192C44">
        <w:rPr>
          <w:sz w:val="16"/>
          <w:szCs w:val="16"/>
          <w:lang w:val="es-ES_tradnl"/>
        </w:rPr>
        <w:t>O’Neil</w:t>
      </w:r>
      <w:proofErr w:type="spellEnd"/>
      <w:r w:rsidRPr="00192C44">
        <w:rPr>
          <w:sz w:val="16"/>
          <w:szCs w:val="16"/>
          <w:lang w:val="es-ES_tradnl"/>
        </w:rPr>
        <w:t xml:space="preserve"> CE, &amp; </w:t>
      </w:r>
      <w:proofErr w:type="spellStart"/>
      <w:r w:rsidRPr="00192C44">
        <w:rPr>
          <w:sz w:val="16"/>
          <w:szCs w:val="16"/>
          <w:lang w:val="es-ES_tradnl"/>
        </w:rPr>
        <w:t>Fulgoni</w:t>
      </w:r>
      <w:proofErr w:type="spellEnd"/>
      <w:r w:rsidRPr="00192C44">
        <w:rPr>
          <w:sz w:val="16"/>
          <w:szCs w:val="16"/>
          <w:lang w:val="es-ES_tradnl"/>
        </w:rPr>
        <w:t xml:space="preserve"> VL. </w:t>
      </w:r>
      <w:r w:rsidRPr="00EC16BA">
        <w:rPr>
          <w:sz w:val="16"/>
          <w:szCs w:val="16"/>
        </w:rPr>
        <w:t xml:space="preserve">(2013). </w:t>
      </w:r>
      <w:proofErr w:type="gramStart"/>
      <w:r w:rsidRPr="00EC16BA">
        <w:rPr>
          <w:sz w:val="16"/>
          <w:szCs w:val="16"/>
        </w:rPr>
        <w:t>The</w:t>
      </w:r>
      <w:proofErr w:type="gramEnd"/>
      <w:r w:rsidRPr="00EC16BA">
        <w:rPr>
          <w:sz w:val="16"/>
          <w:szCs w:val="16"/>
        </w:rPr>
        <w:t xml:space="preserve"> Nutritional Role of Flavored and White Milk in the Diets of Children. </w:t>
      </w:r>
      <w:r w:rsidRPr="00EC16BA">
        <w:rPr>
          <w:i/>
          <w:sz w:val="16"/>
          <w:szCs w:val="16"/>
        </w:rPr>
        <w:t>Journal of School Health</w:t>
      </w:r>
      <w:r w:rsidRPr="00EC16BA">
        <w:rPr>
          <w:sz w:val="16"/>
          <w:szCs w:val="16"/>
        </w:rPr>
        <w:t>, 728-733.</w:t>
      </w:r>
    </w:p>
  </w:footnote>
  <w:footnote w:id="39">
    <w:p w14:paraId="37BD2DBF" w14:textId="12A5E677"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Murphy MM, Douglass JS, Johnson R, et al. (2008). Drinking Flavored or Plain Milk is Positively Associated with Nutrient Intake and is Not Associated with Adverse Effects on Weight Status in US Children and Adolescents. </w:t>
      </w:r>
      <w:r w:rsidRPr="00EC16BA">
        <w:rPr>
          <w:i/>
          <w:sz w:val="16"/>
          <w:szCs w:val="16"/>
        </w:rPr>
        <w:t xml:space="preserve">Journal of the Academy of Nutrition and Dietetics, </w:t>
      </w:r>
      <w:r w:rsidRPr="00EC16BA">
        <w:rPr>
          <w:sz w:val="16"/>
          <w:szCs w:val="16"/>
        </w:rPr>
        <w:t>631-639.</w:t>
      </w:r>
    </w:p>
  </w:footnote>
  <w:footnote w:id="40">
    <w:p w14:paraId="6F90B959" w14:textId="4C3CE3CD" w:rsidR="004C7DDC" w:rsidRDefault="004C7DDC">
      <w:pPr>
        <w:pStyle w:val="FootnoteText"/>
      </w:pPr>
      <w:r w:rsidRPr="00EC16BA">
        <w:rPr>
          <w:rStyle w:val="FootnoteReference"/>
          <w:sz w:val="16"/>
          <w:szCs w:val="16"/>
        </w:rPr>
        <w:footnoteRef/>
      </w:r>
      <w:r w:rsidRPr="00EC16BA">
        <w:rPr>
          <w:sz w:val="16"/>
          <w:szCs w:val="16"/>
        </w:rPr>
        <w:t xml:space="preserve"> </w:t>
      </w:r>
      <w:proofErr w:type="spellStart"/>
      <w:r w:rsidRPr="00EC16BA">
        <w:rPr>
          <w:sz w:val="16"/>
          <w:szCs w:val="16"/>
        </w:rPr>
        <w:t>Dannon</w:t>
      </w:r>
      <w:proofErr w:type="spellEnd"/>
      <w:r w:rsidRPr="00EC16BA">
        <w:rPr>
          <w:sz w:val="16"/>
          <w:szCs w:val="16"/>
        </w:rPr>
        <w:t xml:space="preserve">. (2014). </w:t>
      </w:r>
      <w:r w:rsidRPr="00EC16BA">
        <w:rPr>
          <w:bCs/>
          <w:sz w:val="16"/>
          <w:szCs w:val="16"/>
        </w:rPr>
        <w:t xml:space="preserve">The </w:t>
      </w:r>
      <w:proofErr w:type="spellStart"/>
      <w:r w:rsidRPr="00EC16BA">
        <w:rPr>
          <w:bCs/>
          <w:sz w:val="16"/>
          <w:szCs w:val="16"/>
        </w:rPr>
        <w:t>Dannon</w:t>
      </w:r>
      <w:proofErr w:type="spellEnd"/>
      <w:r w:rsidRPr="00EC16BA">
        <w:rPr>
          <w:bCs/>
          <w:sz w:val="16"/>
          <w:szCs w:val="16"/>
        </w:rPr>
        <w:t xml:space="preserve"> Company Commits To Further Improve Nutrition Profile Of Its Yogurt with Partnership For A Healthier America. Retrieved from: Press Releases:</w:t>
      </w:r>
      <w:r w:rsidRPr="00EC16BA">
        <w:rPr>
          <w:sz w:val="16"/>
          <w:szCs w:val="16"/>
        </w:rPr>
        <w:t xml:space="preserve"> </w:t>
      </w:r>
      <w:hyperlink r:id="rId9" w:history="1">
        <w:r w:rsidRPr="00EC16BA">
          <w:rPr>
            <w:rStyle w:val="Hyperlink"/>
            <w:sz w:val="16"/>
            <w:szCs w:val="16"/>
          </w:rPr>
          <w:t>http://www.dannon.com/partnership-for-healthy-america/</w:t>
        </w:r>
      </w:hyperlink>
      <w:r w:rsidRPr="00EC16BA">
        <w:rPr>
          <w:rStyle w:val="Hyperlink"/>
          <w:color w:val="auto"/>
          <w:sz w:val="16"/>
          <w:szCs w:val="16"/>
          <w:u w:val="none"/>
        </w:rPr>
        <w:t>. Accessed on April 2, 2015.</w:t>
      </w:r>
    </w:p>
  </w:footnote>
  <w:footnote w:id="41">
    <w:p w14:paraId="059CBF18" w14:textId="5B23DF41" w:rsidR="004C7DDC" w:rsidRPr="00135BB5" w:rsidRDefault="004C7DDC">
      <w:pPr>
        <w:pStyle w:val="FootnoteText"/>
        <w:rPr>
          <w:sz w:val="16"/>
          <w:szCs w:val="16"/>
        </w:rPr>
      </w:pPr>
      <w:r w:rsidRPr="00135BB5">
        <w:rPr>
          <w:rStyle w:val="FootnoteReference"/>
          <w:sz w:val="16"/>
          <w:szCs w:val="16"/>
        </w:rPr>
        <w:footnoteRef/>
      </w:r>
      <w:r w:rsidRPr="00135BB5">
        <w:rPr>
          <w:sz w:val="16"/>
          <w:szCs w:val="16"/>
        </w:rPr>
        <w:t xml:space="preserve"> Food Research and Action Center. CACFP Best Practice Case Study. Retrieved from: </w:t>
      </w:r>
      <w:hyperlink r:id="rId10" w:history="1">
        <w:r w:rsidRPr="00135BB5">
          <w:rPr>
            <w:rStyle w:val="Hyperlink"/>
            <w:sz w:val="16"/>
            <w:szCs w:val="16"/>
          </w:rPr>
          <w:t>http://frac.org/pdf/cacfp_nc_case_study.pdf</w:t>
        </w:r>
      </w:hyperlink>
      <w:r w:rsidRPr="00135BB5">
        <w:rPr>
          <w:sz w:val="16"/>
          <w:szCs w:val="16"/>
        </w:rPr>
        <w:t>. Accessed on April 6, 2015.</w:t>
      </w:r>
    </w:p>
  </w:footnote>
  <w:footnote w:id="42">
    <w:p w14:paraId="1E238EAF" w14:textId="75F84D32"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American Academy of Pediatrics, American Public Health Association, &amp; National Resource Center for Health and Safety in Child Care and Early Education. (2010). </w:t>
      </w:r>
      <w:r w:rsidRPr="00EC16BA">
        <w:rPr>
          <w:iCs/>
          <w:sz w:val="16"/>
          <w:szCs w:val="16"/>
        </w:rPr>
        <w:t>Preventing Childhood Obesity in Early Care and Education: Selected Standards from Caring for Our Children: National Health and Safety Performance Standards; Guidelines for Early Care and Education Programs, 3rd Edition</w:t>
      </w:r>
      <w:r w:rsidRPr="00EC16BA">
        <w:rPr>
          <w:sz w:val="16"/>
          <w:szCs w:val="16"/>
        </w:rPr>
        <w:t xml:space="preserve">. Retrieved from: </w:t>
      </w:r>
      <w:hyperlink r:id="rId11" w:history="1">
        <w:r w:rsidRPr="00EC16BA">
          <w:rPr>
            <w:rStyle w:val="Hyperlink"/>
            <w:sz w:val="16"/>
            <w:szCs w:val="16"/>
          </w:rPr>
          <w:t>http://cfoc.nrckids.org/</w:t>
        </w:r>
      </w:hyperlink>
      <w:r w:rsidRPr="00EC16BA">
        <w:rPr>
          <w:sz w:val="16"/>
          <w:szCs w:val="16"/>
        </w:rPr>
        <w:t>. Accessed on April 2, 2015.</w:t>
      </w:r>
    </w:p>
  </w:footnote>
  <w:footnote w:id="43">
    <w:p w14:paraId="55259315" w14:textId="61EDBCE3"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National Resource Center for Health and Safety in Child Care and Early Education. (2011). </w:t>
      </w:r>
      <w:r w:rsidRPr="00EC16BA">
        <w:rPr>
          <w:iCs/>
          <w:sz w:val="16"/>
          <w:szCs w:val="16"/>
        </w:rPr>
        <w:t>National Resource Center for Health and Safety in Child Care and Early Education: Achieving a State of Healthy Weight: A National Assessment of Obesity Prevention Terminology in Child Care Regulations 2010</w:t>
      </w:r>
      <w:r w:rsidRPr="00EC16BA">
        <w:rPr>
          <w:sz w:val="16"/>
          <w:szCs w:val="16"/>
        </w:rPr>
        <w:t xml:space="preserve">. Retrieved from: </w:t>
      </w:r>
      <w:hyperlink r:id="rId12" w:history="1">
        <w:r w:rsidRPr="00EC16BA">
          <w:rPr>
            <w:rStyle w:val="Hyperlink"/>
            <w:sz w:val="16"/>
            <w:szCs w:val="16"/>
          </w:rPr>
          <w:t>http://nrckids.org/default/assets/file/products/ashw/regulations_report_2010.pdf</w:t>
        </w:r>
      </w:hyperlink>
      <w:r w:rsidRPr="00EC16BA">
        <w:rPr>
          <w:sz w:val="16"/>
          <w:szCs w:val="16"/>
        </w:rPr>
        <w:t>. Accessed on April 2, 2015.</w:t>
      </w:r>
    </w:p>
  </w:footnote>
  <w:footnote w:id="44">
    <w:p w14:paraId="1D887FB9" w14:textId="3E5D238D" w:rsidR="004C7DDC" w:rsidRDefault="004C7DDC">
      <w:pPr>
        <w:pStyle w:val="FootnoteText"/>
      </w:pPr>
      <w:r w:rsidRPr="00EC16BA">
        <w:rPr>
          <w:rStyle w:val="FootnoteReference"/>
          <w:sz w:val="16"/>
          <w:szCs w:val="16"/>
        </w:rPr>
        <w:footnoteRef/>
      </w:r>
      <w:r w:rsidRPr="00EC16BA">
        <w:rPr>
          <w:sz w:val="16"/>
          <w:szCs w:val="16"/>
        </w:rPr>
        <w:t xml:space="preserve"> American Dietetic Association. (2011). Benchmarks for Nutrition in Child Care.</w:t>
      </w:r>
      <w:r w:rsidRPr="00EC16BA">
        <w:rPr>
          <w:i/>
          <w:sz w:val="16"/>
          <w:szCs w:val="16"/>
        </w:rPr>
        <w:t xml:space="preserve"> Journal of the Academy of Nutrition and Dietetics</w:t>
      </w:r>
      <w:r w:rsidRPr="00EC16BA">
        <w:rPr>
          <w:i/>
          <w:iCs/>
          <w:sz w:val="16"/>
          <w:szCs w:val="16"/>
        </w:rPr>
        <w:t xml:space="preserve">, </w:t>
      </w:r>
      <w:r w:rsidRPr="00EC16BA">
        <w:rPr>
          <w:sz w:val="16"/>
          <w:szCs w:val="16"/>
        </w:rPr>
        <w:t>607-615.</w:t>
      </w:r>
    </w:p>
  </w:footnote>
  <w:footnote w:id="45">
    <w:p w14:paraId="04E37098" w14:textId="5FF53455" w:rsidR="004C7DDC" w:rsidRPr="00F5115D" w:rsidRDefault="004C7DDC">
      <w:pPr>
        <w:pStyle w:val="FootnoteText"/>
        <w:rPr>
          <w:sz w:val="16"/>
          <w:szCs w:val="16"/>
        </w:rPr>
      </w:pPr>
      <w:r w:rsidRPr="00F5115D">
        <w:rPr>
          <w:rStyle w:val="FootnoteReference"/>
          <w:sz w:val="16"/>
          <w:szCs w:val="16"/>
        </w:rPr>
        <w:footnoteRef/>
      </w:r>
      <w:r w:rsidRPr="00F5115D">
        <w:rPr>
          <w:sz w:val="16"/>
          <w:szCs w:val="16"/>
        </w:rPr>
        <w:t xml:space="preserve"> </w:t>
      </w:r>
      <w:r>
        <w:rPr>
          <w:sz w:val="16"/>
          <w:szCs w:val="16"/>
        </w:rPr>
        <w:t xml:space="preserve">Center for Science in the Public Interest. Alternative School Discipline Options to Withholding Recess. Retrieved from: </w:t>
      </w:r>
      <w:hyperlink r:id="rId13" w:history="1">
        <w:r w:rsidRPr="00BE5455">
          <w:rPr>
            <w:rStyle w:val="Hyperlink"/>
            <w:sz w:val="16"/>
            <w:szCs w:val="16"/>
          </w:rPr>
          <w:t>http://cspinet.org/new/pdf/Alternatives_to_Withholding_Recess.pdf</w:t>
        </w:r>
      </w:hyperlink>
      <w:r>
        <w:rPr>
          <w:sz w:val="16"/>
          <w:szCs w:val="16"/>
        </w:rPr>
        <w:t xml:space="preserve">. Accessed on April 6, 2015. </w:t>
      </w:r>
    </w:p>
  </w:footnote>
  <w:footnote w:id="46">
    <w:p w14:paraId="18988FAF" w14:textId="40A7E3C5"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w:t>
      </w:r>
      <w:proofErr w:type="spellStart"/>
      <w:r w:rsidRPr="00EC16BA">
        <w:rPr>
          <w:sz w:val="16"/>
          <w:szCs w:val="16"/>
        </w:rPr>
        <w:t>Wiecha</w:t>
      </w:r>
      <w:proofErr w:type="spellEnd"/>
      <w:r w:rsidRPr="00EC16BA">
        <w:rPr>
          <w:sz w:val="16"/>
          <w:szCs w:val="16"/>
        </w:rPr>
        <w:t xml:space="preserve"> JL, Hall G, Gannett E, </w:t>
      </w:r>
      <w:r>
        <w:rPr>
          <w:sz w:val="16"/>
          <w:szCs w:val="16"/>
        </w:rPr>
        <w:t xml:space="preserve">&amp; </w:t>
      </w:r>
      <w:r w:rsidRPr="00EC16BA">
        <w:rPr>
          <w:sz w:val="16"/>
          <w:szCs w:val="16"/>
        </w:rPr>
        <w:t>Roth B.</w:t>
      </w:r>
      <w:r>
        <w:rPr>
          <w:sz w:val="16"/>
          <w:szCs w:val="16"/>
        </w:rPr>
        <w:t xml:space="preserve"> </w:t>
      </w:r>
      <w:r w:rsidRPr="00EC16BA">
        <w:rPr>
          <w:sz w:val="16"/>
          <w:szCs w:val="16"/>
        </w:rPr>
        <w:t xml:space="preserve">(2011). National </w:t>
      </w:r>
      <w:proofErr w:type="spellStart"/>
      <w:r w:rsidRPr="00EC16BA">
        <w:rPr>
          <w:sz w:val="16"/>
          <w:szCs w:val="16"/>
        </w:rPr>
        <w:t>AfterSchool</w:t>
      </w:r>
      <w:proofErr w:type="spellEnd"/>
      <w:r w:rsidRPr="00EC16BA">
        <w:rPr>
          <w:sz w:val="16"/>
          <w:szCs w:val="16"/>
        </w:rPr>
        <w:t xml:space="preserve"> Association Standards for Healthy Eating and Physical Activity. Retrieved from: </w:t>
      </w:r>
      <w:hyperlink r:id="rId14" w:history="1">
        <w:r w:rsidRPr="00EC16BA">
          <w:rPr>
            <w:rStyle w:val="Hyperlink"/>
            <w:sz w:val="16"/>
            <w:szCs w:val="16"/>
          </w:rPr>
          <w:t>http://www.niost.org/pdf/host/Healthy_Eating_and_Physical_Activity_Standards.pdf</w:t>
        </w:r>
      </w:hyperlink>
      <w:r w:rsidRPr="00EC16BA">
        <w:rPr>
          <w:sz w:val="16"/>
          <w:szCs w:val="16"/>
        </w:rPr>
        <w:t>. Accessed on April 2, 2015.</w:t>
      </w:r>
    </w:p>
  </w:footnote>
  <w:footnote w:id="47">
    <w:p w14:paraId="2CB84CAC" w14:textId="5B51F7B2" w:rsidR="004C7DDC" w:rsidRPr="00642A64" w:rsidRDefault="004C7DDC">
      <w:pPr>
        <w:pStyle w:val="FootnoteText"/>
        <w:rPr>
          <w:sz w:val="16"/>
          <w:szCs w:val="16"/>
        </w:rPr>
      </w:pPr>
      <w:r w:rsidRPr="00642A64">
        <w:rPr>
          <w:rStyle w:val="FootnoteReference"/>
          <w:sz w:val="16"/>
          <w:szCs w:val="16"/>
        </w:rPr>
        <w:footnoteRef/>
      </w:r>
      <w:r w:rsidRPr="00642A64">
        <w:rPr>
          <w:sz w:val="16"/>
          <w:szCs w:val="16"/>
        </w:rPr>
        <w:t xml:space="preserve"> </w:t>
      </w:r>
      <w:r>
        <w:rPr>
          <w:sz w:val="16"/>
          <w:szCs w:val="16"/>
        </w:rPr>
        <w:t>Similar to how USDA does not allow sugar-sweetened beverages to be sold in elementary and middle schools that participate in the National School Lunch Program.</w:t>
      </w:r>
    </w:p>
  </w:footnote>
  <w:footnote w:id="48">
    <w:p w14:paraId="1B63ED4D" w14:textId="6C8FDA06"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Healthy Eating Research, see footnote #22.</w:t>
      </w:r>
    </w:p>
  </w:footnote>
  <w:footnote w:id="49">
    <w:p w14:paraId="63CC10BE" w14:textId="0E0E72A7" w:rsidR="004C7DDC" w:rsidRPr="00502F8B" w:rsidRDefault="004C7DDC">
      <w:pPr>
        <w:pStyle w:val="FootnoteText"/>
        <w:rPr>
          <w:sz w:val="16"/>
          <w:szCs w:val="16"/>
        </w:rPr>
      </w:pPr>
      <w:r w:rsidRPr="00502F8B">
        <w:rPr>
          <w:rStyle w:val="FootnoteReference"/>
          <w:sz w:val="16"/>
          <w:szCs w:val="16"/>
        </w:rPr>
        <w:footnoteRef/>
      </w:r>
      <w:r w:rsidRPr="00502F8B">
        <w:rPr>
          <w:rFonts w:ascii="Calibri" w:hAnsi="Calibri" w:cs="Calibri"/>
          <w:color w:val="000000"/>
          <w:sz w:val="16"/>
          <w:szCs w:val="16"/>
        </w:rPr>
        <w:t>U.S. Department of Agriculture &amp; U.S. Department of Health and Human Services, see footnote #2.</w:t>
      </w:r>
    </w:p>
  </w:footnote>
  <w:footnote w:id="50">
    <w:p w14:paraId="73F90C94" w14:textId="51E7E445" w:rsidR="004C7DDC" w:rsidRPr="00502F8B" w:rsidRDefault="004C7DDC" w:rsidP="00906CF9">
      <w:pPr>
        <w:autoSpaceDE w:val="0"/>
        <w:autoSpaceDN w:val="0"/>
        <w:adjustRightInd w:val="0"/>
        <w:spacing w:after="0" w:line="240" w:lineRule="auto"/>
        <w:rPr>
          <w:rFonts w:cs="Calibri"/>
          <w:color w:val="000000"/>
          <w:sz w:val="16"/>
          <w:szCs w:val="16"/>
        </w:rPr>
      </w:pPr>
      <w:r w:rsidRPr="00502F8B">
        <w:rPr>
          <w:rStyle w:val="FootnoteReference"/>
          <w:sz w:val="16"/>
          <w:szCs w:val="16"/>
        </w:rPr>
        <w:footnoteRef/>
      </w:r>
      <w:r w:rsidRPr="00502F8B">
        <w:rPr>
          <w:sz w:val="16"/>
          <w:szCs w:val="16"/>
        </w:rPr>
        <w:t xml:space="preserve"> </w:t>
      </w:r>
      <w:r w:rsidRPr="00502F8B">
        <w:rPr>
          <w:rFonts w:cs="Calibri"/>
          <w:color w:val="000000"/>
          <w:sz w:val="16"/>
          <w:szCs w:val="16"/>
        </w:rPr>
        <w:t xml:space="preserve">De </w:t>
      </w:r>
      <w:proofErr w:type="spellStart"/>
      <w:r w:rsidRPr="00502F8B">
        <w:rPr>
          <w:rFonts w:cs="Calibri"/>
          <w:color w:val="000000"/>
          <w:sz w:val="16"/>
          <w:szCs w:val="16"/>
        </w:rPr>
        <w:t>Ruyter</w:t>
      </w:r>
      <w:proofErr w:type="spellEnd"/>
      <w:r w:rsidRPr="00502F8B">
        <w:rPr>
          <w:rFonts w:cs="Calibri"/>
          <w:color w:val="000000"/>
          <w:sz w:val="16"/>
          <w:szCs w:val="16"/>
        </w:rPr>
        <w:t xml:space="preserve"> JC, Olthof MR, </w:t>
      </w:r>
      <w:proofErr w:type="spellStart"/>
      <w:r w:rsidRPr="00502F8B">
        <w:rPr>
          <w:rFonts w:cs="Calibri"/>
          <w:color w:val="000000"/>
          <w:sz w:val="16"/>
          <w:szCs w:val="16"/>
        </w:rPr>
        <w:t>Seidell</w:t>
      </w:r>
      <w:proofErr w:type="spellEnd"/>
      <w:r w:rsidRPr="00502F8B">
        <w:rPr>
          <w:rFonts w:cs="Calibri"/>
          <w:color w:val="000000"/>
          <w:sz w:val="16"/>
          <w:szCs w:val="16"/>
        </w:rPr>
        <w:t xml:space="preserve"> JC, et al. (2012). A Trial of Sugar-Free or Sugar-Sweetened Beverages and Body Weight in Children. </w:t>
      </w:r>
      <w:r w:rsidRPr="00502F8B">
        <w:rPr>
          <w:rFonts w:cs="Calibri"/>
          <w:i/>
          <w:iCs/>
          <w:color w:val="000000"/>
          <w:sz w:val="16"/>
          <w:szCs w:val="16"/>
        </w:rPr>
        <w:t>New England Journal of Medicine</w:t>
      </w:r>
      <w:r w:rsidRPr="00502F8B">
        <w:rPr>
          <w:rFonts w:cs="Calibri"/>
          <w:color w:val="000000"/>
          <w:sz w:val="16"/>
          <w:szCs w:val="16"/>
        </w:rPr>
        <w:t xml:space="preserve">, 1397-1406.  </w:t>
      </w:r>
    </w:p>
  </w:footnote>
  <w:footnote w:id="51">
    <w:p w14:paraId="5B7E41AC" w14:textId="225AA8E4" w:rsidR="004C7DDC" w:rsidRPr="00502F8B" w:rsidRDefault="004C7DDC" w:rsidP="000D56DF">
      <w:pPr>
        <w:pStyle w:val="FootnoteText"/>
        <w:rPr>
          <w:rFonts w:cs="Times New Roman"/>
          <w:sz w:val="16"/>
          <w:szCs w:val="16"/>
        </w:rPr>
      </w:pPr>
      <w:r w:rsidRPr="00502F8B">
        <w:rPr>
          <w:rStyle w:val="FootnoteReference"/>
          <w:rFonts w:cs="Times New Roman"/>
          <w:sz w:val="16"/>
          <w:szCs w:val="16"/>
        </w:rPr>
        <w:footnoteRef/>
      </w:r>
      <w:r w:rsidRPr="00502F8B">
        <w:rPr>
          <w:rFonts w:cs="Times New Roman"/>
          <w:sz w:val="16"/>
          <w:szCs w:val="16"/>
        </w:rPr>
        <w:t xml:space="preserve"> </w:t>
      </w:r>
      <w:proofErr w:type="spellStart"/>
      <w:r w:rsidRPr="00502F8B">
        <w:rPr>
          <w:rFonts w:cs="Times New Roman"/>
          <w:color w:val="222222"/>
          <w:sz w:val="16"/>
          <w:szCs w:val="16"/>
          <w:shd w:val="clear" w:color="auto" w:fill="FFFFFF"/>
        </w:rPr>
        <w:t>Te</w:t>
      </w:r>
      <w:proofErr w:type="spellEnd"/>
      <w:r w:rsidRPr="00502F8B">
        <w:rPr>
          <w:rFonts w:cs="Times New Roman"/>
          <w:color w:val="222222"/>
          <w:sz w:val="16"/>
          <w:szCs w:val="16"/>
          <w:shd w:val="clear" w:color="auto" w:fill="FFFFFF"/>
        </w:rPr>
        <w:t xml:space="preserve"> </w:t>
      </w:r>
      <w:proofErr w:type="spellStart"/>
      <w:r w:rsidRPr="00502F8B">
        <w:rPr>
          <w:rFonts w:cs="Times New Roman"/>
          <w:color w:val="222222"/>
          <w:sz w:val="16"/>
          <w:szCs w:val="16"/>
          <w:shd w:val="clear" w:color="auto" w:fill="FFFFFF"/>
        </w:rPr>
        <w:t>Morenga</w:t>
      </w:r>
      <w:proofErr w:type="spellEnd"/>
      <w:r w:rsidRPr="00502F8B">
        <w:rPr>
          <w:rFonts w:cs="Times New Roman"/>
          <w:color w:val="222222"/>
          <w:sz w:val="16"/>
          <w:szCs w:val="16"/>
          <w:shd w:val="clear" w:color="auto" w:fill="FFFFFF"/>
        </w:rPr>
        <w:t xml:space="preserve"> L, Mallard S, &amp; Mann J. (2013). Dietary Sugars and Body Weight: Systematic Review and Meta-Analyses of Randomized Controlled Trials and Cohort Studies. </w:t>
      </w:r>
      <w:r w:rsidRPr="00502F8B">
        <w:rPr>
          <w:rFonts w:cs="Times New Roman"/>
          <w:i/>
          <w:iCs/>
          <w:color w:val="222222"/>
          <w:sz w:val="16"/>
          <w:szCs w:val="16"/>
          <w:shd w:val="clear" w:color="auto" w:fill="FFFFFF"/>
        </w:rPr>
        <w:t>British Journal of Medicine</w:t>
      </w:r>
      <w:r w:rsidRPr="00502F8B">
        <w:rPr>
          <w:rFonts w:cs="Times New Roman"/>
          <w:color w:val="222222"/>
          <w:sz w:val="16"/>
          <w:szCs w:val="16"/>
          <w:shd w:val="clear" w:color="auto" w:fill="FFFFFF"/>
        </w:rPr>
        <w:t>, </w:t>
      </w:r>
      <w:r w:rsidRPr="00502F8B">
        <w:rPr>
          <w:rFonts w:cs="Times New Roman"/>
          <w:iCs/>
          <w:color w:val="222222"/>
          <w:sz w:val="16"/>
          <w:szCs w:val="16"/>
          <w:shd w:val="clear" w:color="auto" w:fill="FFFFFF"/>
        </w:rPr>
        <w:t>346</w:t>
      </w:r>
      <w:r w:rsidRPr="00502F8B">
        <w:rPr>
          <w:rFonts w:cs="Times New Roman"/>
          <w:color w:val="222222"/>
          <w:sz w:val="16"/>
          <w:szCs w:val="16"/>
          <w:shd w:val="clear" w:color="auto" w:fill="FFFFFF"/>
        </w:rPr>
        <w:t>, e7492.</w:t>
      </w:r>
    </w:p>
  </w:footnote>
  <w:footnote w:id="52">
    <w:p w14:paraId="15AA58E6" w14:textId="35E2CD30" w:rsidR="004C7DDC" w:rsidRPr="00502F8B" w:rsidRDefault="004C7DDC" w:rsidP="000D56DF">
      <w:pPr>
        <w:pStyle w:val="FootnoteText"/>
        <w:rPr>
          <w:rFonts w:cs="Times New Roman"/>
          <w:sz w:val="16"/>
          <w:szCs w:val="16"/>
        </w:rPr>
      </w:pPr>
      <w:r w:rsidRPr="00502F8B">
        <w:rPr>
          <w:rStyle w:val="FootnoteReference"/>
          <w:rFonts w:cs="Times New Roman"/>
          <w:sz w:val="16"/>
          <w:szCs w:val="16"/>
        </w:rPr>
        <w:footnoteRef/>
      </w:r>
      <w:r w:rsidRPr="00502F8B">
        <w:rPr>
          <w:rFonts w:cs="Times New Roman"/>
          <w:sz w:val="16"/>
          <w:szCs w:val="16"/>
        </w:rPr>
        <w:t xml:space="preserve"> </w:t>
      </w:r>
      <w:r w:rsidRPr="00502F8B">
        <w:rPr>
          <w:rFonts w:cs="Times New Roman"/>
          <w:sz w:val="16"/>
          <w:szCs w:val="16"/>
          <w:shd w:val="clear" w:color="auto" w:fill="FFFFFF"/>
        </w:rPr>
        <w:t xml:space="preserve">Malik VS, </w:t>
      </w:r>
      <w:proofErr w:type="spellStart"/>
      <w:r w:rsidRPr="00502F8B">
        <w:rPr>
          <w:rFonts w:cs="Times New Roman"/>
          <w:sz w:val="16"/>
          <w:szCs w:val="16"/>
          <w:shd w:val="clear" w:color="auto" w:fill="FFFFFF"/>
        </w:rPr>
        <w:t>Popkin</w:t>
      </w:r>
      <w:proofErr w:type="spellEnd"/>
      <w:r w:rsidRPr="00502F8B">
        <w:rPr>
          <w:rFonts w:cs="Times New Roman"/>
          <w:sz w:val="16"/>
          <w:szCs w:val="16"/>
          <w:shd w:val="clear" w:color="auto" w:fill="FFFFFF"/>
        </w:rPr>
        <w:t xml:space="preserve"> BM, Bray GA, </w:t>
      </w:r>
      <w:proofErr w:type="spellStart"/>
      <w:r w:rsidRPr="00502F8B">
        <w:rPr>
          <w:rFonts w:cs="Times New Roman"/>
          <w:sz w:val="16"/>
          <w:szCs w:val="16"/>
          <w:shd w:val="clear" w:color="auto" w:fill="FFFFFF"/>
        </w:rPr>
        <w:t>Després</w:t>
      </w:r>
      <w:proofErr w:type="spellEnd"/>
      <w:r w:rsidRPr="00502F8B">
        <w:rPr>
          <w:rFonts w:cs="Times New Roman"/>
          <w:sz w:val="16"/>
          <w:szCs w:val="16"/>
          <w:shd w:val="clear" w:color="auto" w:fill="FFFFFF"/>
        </w:rPr>
        <w:t xml:space="preserve"> JP, &amp; Hu FB. (2010). Sugar-Sweetened Beverages, Obesity, type 2 Diabetes Mellitus, and Cardiovascular Disease Risk.  </w:t>
      </w:r>
      <w:r w:rsidRPr="00502F8B">
        <w:rPr>
          <w:rFonts w:cs="Times New Roman"/>
          <w:i/>
          <w:iCs/>
          <w:sz w:val="16"/>
          <w:szCs w:val="16"/>
          <w:shd w:val="clear" w:color="auto" w:fill="FFFFFF"/>
        </w:rPr>
        <w:t>Circulation</w:t>
      </w:r>
      <w:r w:rsidRPr="00502F8B">
        <w:rPr>
          <w:rFonts w:cs="Times New Roman"/>
          <w:sz w:val="16"/>
          <w:szCs w:val="16"/>
          <w:shd w:val="clear" w:color="auto" w:fill="FFFFFF"/>
        </w:rPr>
        <w:t>, 1356-1364</w:t>
      </w:r>
      <w:r w:rsidRPr="00502F8B">
        <w:rPr>
          <w:rFonts w:cs="Times New Roman"/>
          <w:sz w:val="16"/>
          <w:szCs w:val="16"/>
        </w:rPr>
        <w:t xml:space="preserve">. </w:t>
      </w:r>
    </w:p>
  </w:footnote>
  <w:footnote w:id="53">
    <w:p w14:paraId="3F91BFF2" w14:textId="33F205D7"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w:t>
      </w:r>
      <w:r w:rsidRPr="00502F8B">
        <w:rPr>
          <w:rFonts w:cs="Times New Roman"/>
          <w:sz w:val="16"/>
          <w:szCs w:val="16"/>
          <w:shd w:val="clear" w:color="auto" w:fill="FFFFFF"/>
        </w:rPr>
        <w:t xml:space="preserve">Malik VS, </w:t>
      </w:r>
      <w:proofErr w:type="spellStart"/>
      <w:r w:rsidRPr="00502F8B">
        <w:rPr>
          <w:rFonts w:cs="Times New Roman"/>
          <w:sz w:val="16"/>
          <w:szCs w:val="16"/>
          <w:shd w:val="clear" w:color="auto" w:fill="FFFFFF"/>
        </w:rPr>
        <w:t>Popkin</w:t>
      </w:r>
      <w:proofErr w:type="spellEnd"/>
      <w:r w:rsidRPr="00502F8B">
        <w:rPr>
          <w:rFonts w:cs="Times New Roman"/>
          <w:sz w:val="16"/>
          <w:szCs w:val="16"/>
          <w:shd w:val="clear" w:color="auto" w:fill="FFFFFF"/>
        </w:rPr>
        <w:t xml:space="preserve"> BM, Bray GA, </w:t>
      </w:r>
      <w:proofErr w:type="spellStart"/>
      <w:r w:rsidRPr="00502F8B">
        <w:rPr>
          <w:rFonts w:cs="Times New Roman"/>
          <w:sz w:val="16"/>
          <w:szCs w:val="16"/>
          <w:shd w:val="clear" w:color="auto" w:fill="FFFFFF"/>
        </w:rPr>
        <w:t>Després</w:t>
      </w:r>
      <w:proofErr w:type="spellEnd"/>
      <w:r w:rsidRPr="00502F8B">
        <w:rPr>
          <w:rFonts w:cs="Times New Roman"/>
          <w:sz w:val="16"/>
          <w:szCs w:val="16"/>
          <w:shd w:val="clear" w:color="auto" w:fill="FFFFFF"/>
        </w:rPr>
        <w:t xml:space="preserve"> JP, Willett WC, &amp; Hu FB. (2010). Sugar-Sweetened Beverages and Risk of Metabolic Syndrome and type 2 Diabetes a Meta-Analysis.  </w:t>
      </w:r>
      <w:r w:rsidRPr="00502F8B">
        <w:rPr>
          <w:rFonts w:cs="Times New Roman"/>
          <w:i/>
          <w:iCs/>
          <w:sz w:val="16"/>
          <w:szCs w:val="16"/>
          <w:shd w:val="clear" w:color="auto" w:fill="FFFFFF"/>
        </w:rPr>
        <w:t>Diabetes Care</w:t>
      </w:r>
      <w:r w:rsidRPr="00502F8B">
        <w:rPr>
          <w:rFonts w:cs="Times New Roman"/>
          <w:sz w:val="16"/>
          <w:szCs w:val="16"/>
          <w:shd w:val="clear" w:color="auto" w:fill="FFFFFF"/>
        </w:rPr>
        <w:t>, 2477-2483</w:t>
      </w:r>
      <w:r w:rsidRPr="00502F8B">
        <w:rPr>
          <w:rFonts w:cs="Times New Roman"/>
          <w:sz w:val="16"/>
          <w:szCs w:val="16"/>
        </w:rPr>
        <w:t>.</w:t>
      </w:r>
    </w:p>
  </w:footnote>
  <w:footnote w:id="54">
    <w:p w14:paraId="6C7CAFEE" w14:textId="66D6DAE3"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w:t>
      </w:r>
      <w:proofErr w:type="spellStart"/>
      <w:r w:rsidRPr="00502F8B">
        <w:rPr>
          <w:rFonts w:cs="Times New Roman"/>
          <w:sz w:val="16"/>
          <w:szCs w:val="16"/>
          <w:shd w:val="clear" w:color="auto" w:fill="FFFFFF"/>
        </w:rPr>
        <w:t>Touger</w:t>
      </w:r>
      <w:proofErr w:type="spellEnd"/>
      <w:r w:rsidRPr="00502F8B">
        <w:rPr>
          <w:rFonts w:cs="Times New Roman"/>
          <w:sz w:val="16"/>
          <w:szCs w:val="16"/>
          <w:shd w:val="clear" w:color="auto" w:fill="FFFFFF"/>
        </w:rPr>
        <w:t xml:space="preserve">-Decker R &amp; Van </w:t>
      </w:r>
      <w:proofErr w:type="spellStart"/>
      <w:r w:rsidRPr="00502F8B">
        <w:rPr>
          <w:rFonts w:cs="Times New Roman"/>
          <w:sz w:val="16"/>
          <w:szCs w:val="16"/>
          <w:shd w:val="clear" w:color="auto" w:fill="FFFFFF"/>
        </w:rPr>
        <w:t>Loveren</w:t>
      </w:r>
      <w:proofErr w:type="spellEnd"/>
      <w:r w:rsidRPr="00502F8B">
        <w:rPr>
          <w:rFonts w:cs="Times New Roman"/>
          <w:sz w:val="16"/>
          <w:szCs w:val="16"/>
          <w:shd w:val="clear" w:color="auto" w:fill="FFFFFF"/>
        </w:rPr>
        <w:t xml:space="preserve"> C. (2003).  Sugars and Dental Caries.  </w:t>
      </w:r>
      <w:r w:rsidRPr="00502F8B">
        <w:rPr>
          <w:rFonts w:cs="Times New Roman"/>
          <w:i/>
          <w:iCs/>
          <w:sz w:val="16"/>
          <w:szCs w:val="16"/>
          <w:shd w:val="clear" w:color="auto" w:fill="FFFFFF"/>
        </w:rPr>
        <w:t>The American Journal of Clinical Nutrition</w:t>
      </w:r>
      <w:r w:rsidRPr="00502F8B">
        <w:rPr>
          <w:rFonts w:cs="Times New Roman"/>
          <w:sz w:val="16"/>
          <w:szCs w:val="16"/>
          <w:shd w:val="clear" w:color="auto" w:fill="FFFFFF"/>
        </w:rPr>
        <w:t>, 881S-892S.</w:t>
      </w:r>
    </w:p>
  </w:footnote>
  <w:footnote w:id="55">
    <w:p w14:paraId="5A8C07DC" w14:textId="7C987C76"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w:t>
      </w:r>
      <w:r w:rsidRPr="00502F8B">
        <w:rPr>
          <w:rFonts w:cs="Times New Roman"/>
          <w:sz w:val="16"/>
          <w:szCs w:val="16"/>
          <w:shd w:val="clear" w:color="auto" w:fill="FFFFFF"/>
        </w:rPr>
        <w:t xml:space="preserve">Choi HK &amp; </w:t>
      </w:r>
      <w:proofErr w:type="spellStart"/>
      <w:r w:rsidRPr="00502F8B">
        <w:rPr>
          <w:rFonts w:cs="Times New Roman"/>
          <w:sz w:val="16"/>
          <w:szCs w:val="16"/>
          <w:shd w:val="clear" w:color="auto" w:fill="FFFFFF"/>
        </w:rPr>
        <w:t>Curhan</w:t>
      </w:r>
      <w:proofErr w:type="spellEnd"/>
      <w:r w:rsidRPr="00502F8B">
        <w:rPr>
          <w:rFonts w:cs="Times New Roman"/>
          <w:sz w:val="16"/>
          <w:szCs w:val="16"/>
          <w:shd w:val="clear" w:color="auto" w:fill="FFFFFF"/>
        </w:rPr>
        <w:t xml:space="preserve"> G. (2008). Soft Drinks, Fructose Consumption, and the Risk of Gout in Men: Prospective Cohort Study.  </w:t>
      </w:r>
      <w:r w:rsidRPr="00502F8B">
        <w:rPr>
          <w:rFonts w:cs="Times New Roman"/>
          <w:i/>
          <w:iCs/>
          <w:sz w:val="16"/>
          <w:szCs w:val="16"/>
          <w:shd w:val="clear" w:color="auto" w:fill="FFFFFF"/>
        </w:rPr>
        <w:t>British Journal of Medicine</w:t>
      </w:r>
      <w:r w:rsidRPr="00502F8B">
        <w:rPr>
          <w:rFonts w:cs="Times New Roman"/>
          <w:sz w:val="16"/>
          <w:szCs w:val="16"/>
          <w:shd w:val="clear" w:color="auto" w:fill="FFFFFF"/>
        </w:rPr>
        <w:t>, 309-312</w:t>
      </w:r>
      <w:r w:rsidRPr="00502F8B">
        <w:rPr>
          <w:rFonts w:cs="Times New Roman"/>
          <w:sz w:val="16"/>
          <w:szCs w:val="16"/>
        </w:rPr>
        <w:t>.</w:t>
      </w:r>
    </w:p>
  </w:footnote>
  <w:footnote w:id="56">
    <w:p w14:paraId="66429046" w14:textId="7EA5BC7A"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w:t>
      </w:r>
      <w:r w:rsidRPr="00502F8B">
        <w:rPr>
          <w:bCs/>
          <w:sz w:val="16"/>
          <w:szCs w:val="16"/>
        </w:rPr>
        <w:t>National Resource Center for Health and Safety in Child Care and Early Education</w:t>
      </w:r>
      <w:r w:rsidRPr="00502F8B">
        <w:rPr>
          <w:sz w:val="16"/>
          <w:szCs w:val="16"/>
        </w:rPr>
        <w:t xml:space="preserve"> </w:t>
      </w:r>
      <w:r w:rsidRPr="00502F8B">
        <w:rPr>
          <w:rFonts w:ascii="Calibri" w:hAnsi="Calibri" w:cs="Calibri"/>
          <w:sz w:val="16"/>
          <w:szCs w:val="16"/>
        </w:rPr>
        <w:t xml:space="preserve">(2015). </w:t>
      </w:r>
      <w:r w:rsidRPr="00502F8B">
        <w:rPr>
          <w:rFonts w:ascii="Calibri" w:hAnsi="Calibri" w:cs="Calibri"/>
          <w:i/>
          <w:iCs/>
          <w:sz w:val="16"/>
          <w:szCs w:val="16"/>
        </w:rPr>
        <w:t>New Jersey Regulations</w:t>
      </w:r>
      <w:r w:rsidRPr="00502F8B">
        <w:rPr>
          <w:rFonts w:ascii="Calibri" w:hAnsi="Calibri" w:cs="Calibri"/>
          <w:sz w:val="16"/>
          <w:szCs w:val="16"/>
        </w:rPr>
        <w:t xml:space="preserve">. Retrieved from Improving the Quality of Out-Of-Home Child Care and Early Education: </w:t>
      </w:r>
      <w:hyperlink r:id="rId15" w:history="1">
        <w:r w:rsidRPr="00502F8B">
          <w:rPr>
            <w:rStyle w:val="Hyperlink"/>
            <w:color w:val="auto"/>
            <w:sz w:val="16"/>
            <w:szCs w:val="16"/>
          </w:rPr>
          <w:t>http://nrckids.org/default/assets/File/StateRegs/NJ/1_NJ_CCCmanual_122.pdf</w:t>
        </w:r>
      </w:hyperlink>
      <w:r w:rsidRPr="00502F8B">
        <w:rPr>
          <w:sz w:val="16"/>
          <w:szCs w:val="16"/>
        </w:rPr>
        <w:t>. Accessed on April 2, 2015.</w:t>
      </w:r>
    </w:p>
  </w:footnote>
  <w:footnote w:id="57">
    <w:p w14:paraId="45974FF9" w14:textId="568A6674"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Nemours Children’s Health System &amp; Let’s Move Child Care. (2015). Five Healthy Goals: Improve Food Choices. Retrieved from: </w:t>
      </w:r>
      <w:hyperlink r:id="rId16" w:history="1">
        <w:r w:rsidRPr="00EC16BA">
          <w:rPr>
            <w:rStyle w:val="Hyperlink"/>
            <w:sz w:val="16"/>
            <w:szCs w:val="16"/>
          </w:rPr>
          <w:t>https://healthykidshealthyfuture.org/5-healthy-goals/improve-food-choices/</w:t>
        </w:r>
      </w:hyperlink>
      <w:r w:rsidRPr="00EC16BA">
        <w:rPr>
          <w:sz w:val="16"/>
          <w:szCs w:val="16"/>
        </w:rPr>
        <w:t>. Accessed on April 2, 2015.</w:t>
      </w:r>
    </w:p>
  </w:footnote>
  <w:footnote w:id="58">
    <w:p w14:paraId="18BAE6E3" w14:textId="77777777" w:rsidR="004C7DDC" w:rsidRPr="00EC16BA" w:rsidRDefault="004C7DDC" w:rsidP="00765996">
      <w:pPr>
        <w:pStyle w:val="FootnoteText"/>
        <w:rPr>
          <w:sz w:val="16"/>
          <w:szCs w:val="16"/>
        </w:rPr>
      </w:pPr>
      <w:r w:rsidRPr="00EC16BA">
        <w:rPr>
          <w:rStyle w:val="FootnoteReference"/>
          <w:sz w:val="16"/>
          <w:szCs w:val="16"/>
        </w:rPr>
        <w:footnoteRef/>
      </w:r>
      <w:r w:rsidRPr="00EC16BA">
        <w:rPr>
          <w:sz w:val="16"/>
          <w:szCs w:val="16"/>
        </w:rPr>
        <w:t xml:space="preserve"> </w:t>
      </w:r>
      <w:r w:rsidRPr="00EC16BA">
        <w:rPr>
          <w:rFonts w:ascii="Calibri" w:hAnsi="Calibri" w:cs="Calibri"/>
          <w:color w:val="000000"/>
          <w:sz w:val="16"/>
          <w:szCs w:val="16"/>
        </w:rPr>
        <w:t>The USDA’s Farm to Child Care Programs and the Fresh Fruit and Vegetable Program are important resources that the USDA should continue to promote through CACFP to encourage experiential learning opportunities that reiterate healthy food choices.</w:t>
      </w:r>
    </w:p>
  </w:footnote>
  <w:footnote w:id="59">
    <w:p w14:paraId="255F27FF" w14:textId="7C42EB6B"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U.S. Department of Agriculture &amp; U.S. Department of Health and Human Services, see footnote #36.</w:t>
      </w:r>
    </w:p>
  </w:footnote>
  <w:footnote w:id="60">
    <w:p w14:paraId="6FA00A76" w14:textId="03E5FCD6"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Minnesota Department of Education. Processed Meats: Some Things to Know. Retrieved from: </w:t>
      </w:r>
      <w:hyperlink r:id="rId17" w:history="1">
        <w:r w:rsidRPr="00EC16BA">
          <w:rPr>
            <w:rStyle w:val="Hyperlink"/>
            <w:sz w:val="16"/>
            <w:szCs w:val="16"/>
          </w:rPr>
          <w:t>http://www.education.mn.gov/MDE/SchSup/FNS/CACFPCenter/FoodServOp/MenusCrediting/057530</w:t>
        </w:r>
      </w:hyperlink>
      <w:r w:rsidRPr="00EC16BA">
        <w:rPr>
          <w:sz w:val="16"/>
          <w:szCs w:val="16"/>
        </w:rPr>
        <w:t>. Accessed on April 2, 2015.</w:t>
      </w:r>
    </w:p>
  </w:footnote>
  <w:footnote w:id="61">
    <w:p w14:paraId="66FE66F3" w14:textId="50CAF1F1"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Indiana Department of Education. Indiana CACFP Award Application. Retrieved from: </w:t>
      </w:r>
      <w:hyperlink r:id="rId18" w:history="1">
        <w:r w:rsidRPr="00EC16BA">
          <w:rPr>
            <w:rStyle w:val="Hyperlink"/>
            <w:sz w:val="16"/>
            <w:szCs w:val="16"/>
          </w:rPr>
          <w:t>http://www.doe.in.gov/sites/default/files/nutrition/complete-application-packet.pdf</w:t>
        </w:r>
      </w:hyperlink>
      <w:r w:rsidRPr="00EC16BA">
        <w:rPr>
          <w:sz w:val="16"/>
          <w:szCs w:val="16"/>
        </w:rPr>
        <w:t>. Accessed on April 2, 2015.</w:t>
      </w:r>
    </w:p>
  </w:footnote>
  <w:footnote w:id="62">
    <w:p w14:paraId="547DFDDA" w14:textId="2D514AFA" w:rsidR="004C7DDC" w:rsidRPr="00EC16BA" w:rsidRDefault="004C7DDC">
      <w:pPr>
        <w:pStyle w:val="FootnoteText"/>
        <w:rPr>
          <w:sz w:val="16"/>
          <w:szCs w:val="16"/>
        </w:rPr>
      </w:pPr>
      <w:r w:rsidRPr="00EC16BA">
        <w:rPr>
          <w:rStyle w:val="FootnoteReference"/>
          <w:sz w:val="16"/>
          <w:szCs w:val="16"/>
        </w:rPr>
        <w:footnoteRef/>
      </w:r>
      <w:r w:rsidRPr="00EC16BA">
        <w:rPr>
          <w:sz w:val="16"/>
          <w:szCs w:val="16"/>
        </w:rPr>
        <w:t xml:space="preserve"> Delaware Department of Education. First Years in the First State: Improving Nutrition&amp; Physical Activity Quality in Delaware Child Care. Retrieved from: </w:t>
      </w:r>
      <w:hyperlink r:id="rId19" w:history="1">
        <w:r w:rsidRPr="00EC16BA">
          <w:rPr>
            <w:rStyle w:val="Hyperlink"/>
            <w:sz w:val="16"/>
            <w:szCs w:val="16"/>
          </w:rPr>
          <w:t>http://healthymeals.nal.usda.gov/hsmrs/Delaware/nhpsmenuplanning.pdf</w:t>
        </w:r>
      </w:hyperlink>
      <w:r w:rsidRPr="00EC16BA">
        <w:rPr>
          <w:sz w:val="16"/>
          <w:szCs w:val="16"/>
        </w:rPr>
        <w:t>. Accessed on April 2, 2015.</w:t>
      </w:r>
    </w:p>
  </w:footnote>
  <w:footnote w:id="63">
    <w:p w14:paraId="3C319F2D" w14:textId="6B2E6D99" w:rsidR="004C7DDC" w:rsidRDefault="004C7DDC">
      <w:pPr>
        <w:pStyle w:val="FootnoteText"/>
      </w:pPr>
      <w:r w:rsidRPr="00EC16BA">
        <w:rPr>
          <w:rStyle w:val="FootnoteReference"/>
          <w:sz w:val="16"/>
          <w:szCs w:val="16"/>
        </w:rPr>
        <w:footnoteRef/>
      </w:r>
      <w:r w:rsidRPr="00EC16BA">
        <w:rPr>
          <w:sz w:val="16"/>
          <w:szCs w:val="16"/>
        </w:rPr>
        <w:t xml:space="preserve"> New York Department of Health. Crediting Foods in CACFP. Retrieved from: </w:t>
      </w:r>
      <w:hyperlink r:id="rId20" w:history="1">
        <w:r w:rsidRPr="00EC16BA">
          <w:rPr>
            <w:rStyle w:val="Hyperlink"/>
            <w:sz w:val="16"/>
            <w:szCs w:val="16"/>
          </w:rPr>
          <w:t>https://www.health.ny.gov/publications/1377.pdf</w:t>
        </w:r>
      </w:hyperlink>
      <w:r w:rsidRPr="00EC16BA">
        <w:rPr>
          <w:sz w:val="16"/>
          <w:szCs w:val="16"/>
        </w:rPr>
        <w:t>. Accessed on April 2, 2015.</w:t>
      </w:r>
    </w:p>
  </w:footnote>
  <w:footnote w:id="64">
    <w:p w14:paraId="65372BC5" w14:textId="2B0C64B8" w:rsidR="004C7DDC" w:rsidRPr="00502F8B" w:rsidRDefault="004C7DDC">
      <w:pPr>
        <w:pStyle w:val="FootnoteText"/>
        <w:rPr>
          <w:sz w:val="16"/>
          <w:szCs w:val="16"/>
        </w:rPr>
      </w:pPr>
      <w:r w:rsidRPr="00502F8B">
        <w:rPr>
          <w:rStyle w:val="FootnoteReference"/>
          <w:sz w:val="16"/>
          <w:szCs w:val="16"/>
        </w:rPr>
        <w:footnoteRef/>
      </w:r>
      <w:r w:rsidRPr="00502F8B">
        <w:rPr>
          <w:sz w:val="16"/>
          <w:szCs w:val="16"/>
        </w:rPr>
        <w:t xml:space="preserve"> Delaware Department of Education, see footnote #61.</w:t>
      </w:r>
    </w:p>
  </w:footnote>
  <w:footnote w:id="65">
    <w:p w14:paraId="6E095D15" w14:textId="0089F886" w:rsidR="004C7DDC" w:rsidRDefault="004C7DDC">
      <w:pPr>
        <w:pStyle w:val="FootnoteText"/>
      </w:pPr>
      <w:r w:rsidRPr="00502F8B">
        <w:rPr>
          <w:rStyle w:val="FootnoteReference"/>
          <w:sz w:val="16"/>
          <w:szCs w:val="16"/>
        </w:rPr>
        <w:footnoteRef/>
      </w:r>
      <w:r w:rsidRPr="00502F8B">
        <w:rPr>
          <w:sz w:val="16"/>
          <w:szCs w:val="16"/>
        </w:rPr>
        <w:t xml:space="preserve"> New York Department of Health, see footnote #62.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7D2D3" w14:textId="0A86049E" w:rsidR="004C7DDC" w:rsidRDefault="004C7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B41A14"/>
    <w:lvl w:ilvl="0">
      <w:numFmt w:val="bullet"/>
      <w:lvlText w:val="*"/>
      <w:lvlJc w:val="left"/>
    </w:lvl>
  </w:abstractNum>
  <w:abstractNum w:abstractNumId="1">
    <w:nsid w:val="0BEC20FF"/>
    <w:multiLevelType w:val="hybridMultilevel"/>
    <w:tmpl w:val="0CA0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31C6B"/>
    <w:multiLevelType w:val="hybridMultilevel"/>
    <w:tmpl w:val="E544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B3F9F"/>
    <w:multiLevelType w:val="hybridMultilevel"/>
    <w:tmpl w:val="76C49ECA"/>
    <w:lvl w:ilvl="0" w:tplc="25908F0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41680"/>
    <w:multiLevelType w:val="hybridMultilevel"/>
    <w:tmpl w:val="90BE5F2C"/>
    <w:lvl w:ilvl="0" w:tplc="82767706">
      <w:numFmt w:val="bullet"/>
      <w:lvlText w:val="·"/>
      <w:lvlJc w:val="left"/>
      <w:pPr>
        <w:ind w:left="915" w:hanging="55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765E27"/>
    <w:multiLevelType w:val="hybridMultilevel"/>
    <w:tmpl w:val="9BA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E0666D"/>
    <w:multiLevelType w:val="hybridMultilevel"/>
    <w:tmpl w:val="43B4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E615F"/>
    <w:multiLevelType w:val="multilevel"/>
    <w:tmpl w:val="A440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D1"/>
    <w:rsid w:val="00040316"/>
    <w:rsid w:val="00055387"/>
    <w:rsid w:val="00080191"/>
    <w:rsid w:val="0008127F"/>
    <w:rsid w:val="000A35E1"/>
    <w:rsid w:val="000B7753"/>
    <w:rsid w:val="000C4B0F"/>
    <w:rsid w:val="000D56DF"/>
    <w:rsid w:val="00115495"/>
    <w:rsid w:val="0011735F"/>
    <w:rsid w:val="00135BB5"/>
    <w:rsid w:val="001629E1"/>
    <w:rsid w:val="00177C62"/>
    <w:rsid w:val="00192C44"/>
    <w:rsid w:val="001B6D2B"/>
    <w:rsid w:val="001C3E43"/>
    <w:rsid w:val="001D481A"/>
    <w:rsid w:val="001D5DB6"/>
    <w:rsid w:val="002055E8"/>
    <w:rsid w:val="00213362"/>
    <w:rsid w:val="002157B5"/>
    <w:rsid w:val="00224FA8"/>
    <w:rsid w:val="00230E62"/>
    <w:rsid w:val="002415B0"/>
    <w:rsid w:val="002672E1"/>
    <w:rsid w:val="00267CB9"/>
    <w:rsid w:val="00270DEA"/>
    <w:rsid w:val="00273481"/>
    <w:rsid w:val="00274273"/>
    <w:rsid w:val="00277FB3"/>
    <w:rsid w:val="002831C3"/>
    <w:rsid w:val="002A01D7"/>
    <w:rsid w:val="002E2B6C"/>
    <w:rsid w:val="002F436E"/>
    <w:rsid w:val="00342E63"/>
    <w:rsid w:val="00350CA9"/>
    <w:rsid w:val="00351410"/>
    <w:rsid w:val="003756C4"/>
    <w:rsid w:val="003B18FB"/>
    <w:rsid w:val="003B600E"/>
    <w:rsid w:val="003B6377"/>
    <w:rsid w:val="003C6098"/>
    <w:rsid w:val="003C703F"/>
    <w:rsid w:val="003F33E7"/>
    <w:rsid w:val="003F5C0E"/>
    <w:rsid w:val="00400610"/>
    <w:rsid w:val="004700B2"/>
    <w:rsid w:val="00484F40"/>
    <w:rsid w:val="00487BC0"/>
    <w:rsid w:val="004A670C"/>
    <w:rsid w:val="004B194B"/>
    <w:rsid w:val="004B1F29"/>
    <w:rsid w:val="004B799B"/>
    <w:rsid w:val="004C7DDC"/>
    <w:rsid w:val="00502F8B"/>
    <w:rsid w:val="00504D50"/>
    <w:rsid w:val="0050617F"/>
    <w:rsid w:val="00532136"/>
    <w:rsid w:val="00543D1F"/>
    <w:rsid w:val="00556298"/>
    <w:rsid w:val="005639C4"/>
    <w:rsid w:val="005A5AD1"/>
    <w:rsid w:val="005A66A2"/>
    <w:rsid w:val="005C094D"/>
    <w:rsid w:val="00604757"/>
    <w:rsid w:val="0061714D"/>
    <w:rsid w:val="00642A64"/>
    <w:rsid w:val="00644287"/>
    <w:rsid w:val="006A491F"/>
    <w:rsid w:val="006D396B"/>
    <w:rsid w:val="00705479"/>
    <w:rsid w:val="00707574"/>
    <w:rsid w:val="007115DC"/>
    <w:rsid w:val="00733592"/>
    <w:rsid w:val="00765996"/>
    <w:rsid w:val="00774960"/>
    <w:rsid w:val="0078126E"/>
    <w:rsid w:val="007D00E7"/>
    <w:rsid w:val="007D5610"/>
    <w:rsid w:val="007E1B38"/>
    <w:rsid w:val="00800F7F"/>
    <w:rsid w:val="008102CA"/>
    <w:rsid w:val="00813953"/>
    <w:rsid w:val="00813FE5"/>
    <w:rsid w:val="00822393"/>
    <w:rsid w:val="0083303C"/>
    <w:rsid w:val="008368D6"/>
    <w:rsid w:val="0087690C"/>
    <w:rsid w:val="00881215"/>
    <w:rsid w:val="00886248"/>
    <w:rsid w:val="00886704"/>
    <w:rsid w:val="008A0CAA"/>
    <w:rsid w:val="008A1EA9"/>
    <w:rsid w:val="008B07E4"/>
    <w:rsid w:val="008B2117"/>
    <w:rsid w:val="008E3FD2"/>
    <w:rsid w:val="008E46D6"/>
    <w:rsid w:val="008F3346"/>
    <w:rsid w:val="00906CF9"/>
    <w:rsid w:val="0092208A"/>
    <w:rsid w:val="00937F27"/>
    <w:rsid w:val="00950759"/>
    <w:rsid w:val="009657ED"/>
    <w:rsid w:val="009E2D54"/>
    <w:rsid w:val="009E53F5"/>
    <w:rsid w:val="00A01C31"/>
    <w:rsid w:val="00A11BEA"/>
    <w:rsid w:val="00A2536F"/>
    <w:rsid w:val="00A26096"/>
    <w:rsid w:val="00A51246"/>
    <w:rsid w:val="00A52EC5"/>
    <w:rsid w:val="00A563E0"/>
    <w:rsid w:val="00A65201"/>
    <w:rsid w:val="00A75B12"/>
    <w:rsid w:val="00AA0334"/>
    <w:rsid w:val="00AB5F05"/>
    <w:rsid w:val="00B01BDC"/>
    <w:rsid w:val="00B31E00"/>
    <w:rsid w:val="00B45842"/>
    <w:rsid w:val="00B948E1"/>
    <w:rsid w:val="00BA2EE5"/>
    <w:rsid w:val="00BA5935"/>
    <w:rsid w:val="00BD69A6"/>
    <w:rsid w:val="00BE296E"/>
    <w:rsid w:val="00BE5239"/>
    <w:rsid w:val="00BF2FFD"/>
    <w:rsid w:val="00C025EC"/>
    <w:rsid w:val="00C10651"/>
    <w:rsid w:val="00C162E1"/>
    <w:rsid w:val="00C24A11"/>
    <w:rsid w:val="00C27DAA"/>
    <w:rsid w:val="00C31166"/>
    <w:rsid w:val="00C34B32"/>
    <w:rsid w:val="00C73CB1"/>
    <w:rsid w:val="00CC6470"/>
    <w:rsid w:val="00CC68B4"/>
    <w:rsid w:val="00CE3BFC"/>
    <w:rsid w:val="00CF744C"/>
    <w:rsid w:val="00CF7934"/>
    <w:rsid w:val="00D01C4D"/>
    <w:rsid w:val="00D05422"/>
    <w:rsid w:val="00D12E05"/>
    <w:rsid w:val="00D2087C"/>
    <w:rsid w:val="00D20A74"/>
    <w:rsid w:val="00D2586C"/>
    <w:rsid w:val="00D40EA3"/>
    <w:rsid w:val="00D528D1"/>
    <w:rsid w:val="00D55F15"/>
    <w:rsid w:val="00D57350"/>
    <w:rsid w:val="00DA4CEB"/>
    <w:rsid w:val="00DB3E1B"/>
    <w:rsid w:val="00E135C5"/>
    <w:rsid w:val="00E25E47"/>
    <w:rsid w:val="00E341AE"/>
    <w:rsid w:val="00E5212C"/>
    <w:rsid w:val="00E92CAE"/>
    <w:rsid w:val="00EB0672"/>
    <w:rsid w:val="00EC16BA"/>
    <w:rsid w:val="00F04755"/>
    <w:rsid w:val="00F14A84"/>
    <w:rsid w:val="00F444D8"/>
    <w:rsid w:val="00F5115D"/>
    <w:rsid w:val="00F6575D"/>
    <w:rsid w:val="00F7743C"/>
    <w:rsid w:val="00FB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C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2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5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422"/>
    <w:rPr>
      <w:sz w:val="20"/>
      <w:szCs w:val="20"/>
    </w:rPr>
  </w:style>
  <w:style w:type="character" w:styleId="FootnoteReference">
    <w:name w:val="footnote reference"/>
    <w:basedOn w:val="DefaultParagraphFont"/>
    <w:uiPriority w:val="99"/>
    <w:unhideWhenUsed/>
    <w:rsid w:val="00D05422"/>
    <w:rPr>
      <w:vertAlign w:val="superscript"/>
    </w:rPr>
  </w:style>
  <w:style w:type="character" w:styleId="Hyperlink">
    <w:name w:val="Hyperlink"/>
    <w:basedOn w:val="DefaultParagraphFont"/>
    <w:uiPriority w:val="99"/>
    <w:unhideWhenUsed/>
    <w:rsid w:val="00D05422"/>
    <w:rPr>
      <w:color w:val="0563C1" w:themeColor="hyperlink"/>
      <w:u w:val="single"/>
    </w:rPr>
  </w:style>
  <w:style w:type="paragraph" w:styleId="ListParagraph">
    <w:name w:val="List Paragraph"/>
    <w:basedOn w:val="Normal"/>
    <w:uiPriority w:val="34"/>
    <w:qFormat/>
    <w:rsid w:val="008B2117"/>
    <w:pPr>
      <w:ind w:left="720"/>
      <w:contextualSpacing/>
    </w:pPr>
  </w:style>
  <w:style w:type="paragraph" w:styleId="Header">
    <w:name w:val="header"/>
    <w:basedOn w:val="Normal"/>
    <w:link w:val="HeaderChar"/>
    <w:uiPriority w:val="99"/>
    <w:unhideWhenUsed/>
    <w:rsid w:val="0026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2E1"/>
  </w:style>
  <w:style w:type="paragraph" w:styleId="Footer">
    <w:name w:val="footer"/>
    <w:basedOn w:val="Normal"/>
    <w:link w:val="FooterChar"/>
    <w:uiPriority w:val="99"/>
    <w:unhideWhenUsed/>
    <w:rsid w:val="0026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2E1"/>
  </w:style>
  <w:style w:type="character" w:styleId="PageNumber">
    <w:name w:val="page number"/>
    <w:rsid w:val="0083303C"/>
    <w:rPr>
      <w:rFonts w:cs="Times New Roman"/>
    </w:rPr>
  </w:style>
  <w:style w:type="paragraph" w:styleId="BalloonText">
    <w:name w:val="Balloon Text"/>
    <w:basedOn w:val="Normal"/>
    <w:link w:val="BalloonTextChar"/>
    <w:uiPriority w:val="99"/>
    <w:semiHidden/>
    <w:unhideWhenUsed/>
    <w:rsid w:val="00205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E8"/>
    <w:rPr>
      <w:rFonts w:ascii="Segoe UI" w:hAnsi="Segoe UI" w:cs="Segoe UI"/>
      <w:sz w:val="18"/>
      <w:szCs w:val="18"/>
    </w:rPr>
  </w:style>
  <w:style w:type="paragraph" w:customStyle="1" w:styleId="Default">
    <w:name w:val="Default"/>
    <w:rsid w:val="007115D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8126E"/>
    <w:rPr>
      <w:sz w:val="16"/>
      <w:szCs w:val="16"/>
    </w:rPr>
  </w:style>
  <w:style w:type="paragraph" w:styleId="CommentText">
    <w:name w:val="annotation text"/>
    <w:basedOn w:val="Normal"/>
    <w:link w:val="CommentTextChar"/>
    <w:uiPriority w:val="99"/>
    <w:semiHidden/>
    <w:unhideWhenUsed/>
    <w:rsid w:val="0078126E"/>
    <w:pPr>
      <w:spacing w:line="240" w:lineRule="auto"/>
    </w:pPr>
    <w:rPr>
      <w:sz w:val="20"/>
      <w:szCs w:val="20"/>
    </w:rPr>
  </w:style>
  <w:style w:type="character" w:customStyle="1" w:styleId="CommentTextChar">
    <w:name w:val="Comment Text Char"/>
    <w:basedOn w:val="DefaultParagraphFont"/>
    <w:link w:val="CommentText"/>
    <w:uiPriority w:val="99"/>
    <w:semiHidden/>
    <w:rsid w:val="0078126E"/>
    <w:rPr>
      <w:sz w:val="20"/>
      <w:szCs w:val="20"/>
    </w:rPr>
  </w:style>
  <w:style w:type="paragraph" w:styleId="CommentSubject">
    <w:name w:val="annotation subject"/>
    <w:basedOn w:val="CommentText"/>
    <w:next w:val="CommentText"/>
    <w:link w:val="CommentSubjectChar"/>
    <w:uiPriority w:val="99"/>
    <w:semiHidden/>
    <w:unhideWhenUsed/>
    <w:rsid w:val="0078126E"/>
    <w:rPr>
      <w:b/>
      <w:bCs/>
    </w:rPr>
  </w:style>
  <w:style w:type="character" w:customStyle="1" w:styleId="CommentSubjectChar">
    <w:name w:val="Comment Subject Char"/>
    <w:basedOn w:val="CommentTextChar"/>
    <w:link w:val="CommentSubject"/>
    <w:uiPriority w:val="99"/>
    <w:semiHidden/>
    <w:rsid w:val="0078126E"/>
    <w:rPr>
      <w:b/>
      <w:bCs/>
      <w:sz w:val="20"/>
      <w:szCs w:val="20"/>
    </w:rPr>
  </w:style>
  <w:style w:type="character" w:styleId="FollowedHyperlink">
    <w:name w:val="FollowedHyperlink"/>
    <w:basedOn w:val="DefaultParagraphFont"/>
    <w:uiPriority w:val="99"/>
    <w:semiHidden/>
    <w:unhideWhenUsed/>
    <w:rsid w:val="001B6D2B"/>
    <w:rPr>
      <w:color w:val="954F72" w:themeColor="followedHyperlink"/>
      <w:u w:val="single"/>
    </w:rPr>
  </w:style>
  <w:style w:type="character" w:customStyle="1" w:styleId="Heading1Char">
    <w:name w:val="Heading 1 Char"/>
    <w:basedOn w:val="DefaultParagraphFont"/>
    <w:link w:val="Heading1"/>
    <w:uiPriority w:val="9"/>
    <w:rsid w:val="007D561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D5610"/>
  </w:style>
  <w:style w:type="character" w:customStyle="1" w:styleId="Heading3Char">
    <w:name w:val="Heading 3 Char"/>
    <w:basedOn w:val="DefaultParagraphFont"/>
    <w:link w:val="Heading3"/>
    <w:uiPriority w:val="9"/>
    <w:semiHidden/>
    <w:rsid w:val="001629E1"/>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2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5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422"/>
    <w:rPr>
      <w:sz w:val="20"/>
      <w:szCs w:val="20"/>
    </w:rPr>
  </w:style>
  <w:style w:type="character" w:styleId="FootnoteReference">
    <w:name w:val="footnote reference"/>
    <w:basedOn w:val="DefaultParagraphFont"/>
    <w:uiPriority w:val="99"/>
    <w:unhideWhenUsed/>
    <w:rsid w:val="00D05422"/>
    <w:rPr>
      <w:vertAlign w:val="superscript"/>
    </w:rPr>
  </w:style>
  <w:style w:type="character" w:styleId="Hyperlink">
    <w:name w:val="Hyperlink"/>
    <w:basedOn w:val="DefaultParagraphFont"/>
    <w:uiPriority w:val="99"/>
    <w:unhideWhenUsed/>
    <w:rsid w:val="00D05422"/>
    <w:rPr>
      <w:color w:val="0563C1" w:themeColor="hyperlink"/>
      <w:u w:val="single"/>
    </w:rPr>
  </w:style>
  <w:style w:type="paragraph" w:styleId="ListParagraph">
    <w:name w:val="List Paragraph"/>
    <w:basedOn w:val="Normal"/>
    <w:uiPriority w:val="34"/>
    <w:qFormat/>
    <w:rsid w:val="008B2117"/>
    <w:pPr>
      <w:ind w:left="720"/>
      <w:contextualSpacing/>
    </w:pPr>
  </w:style>
  <w:style w:type="paragraph" w:styleId="Header">
    <w:name w:val="header"/>
    <w:basedOn w:val="Normal"/>
    <w:link w:val="HeaderChar"/>
    <w:uiPriority w:val="99"/>
    <w:unhideWhenUsed/>
    <w:rsid w:val="0026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2E1"/>
  </w:style>
  <w:style w:type="paragraph" w:styleId="Footer">
    <w:name w:val="footer"/>
    <w:basedOn w:val="Normal"/>
    <w:link w:val="FooterChar"/>
    <w:uiPriority w:val="99"/>
    <w:unhideWhenUsed/>
    <w:rsid w:val="0026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2E1"/>
  </w:style>
  <w:style w:type="character" w:styleId="PageNumber">
    <w:name w:val="page number"/>
    <w:rsid w:val="0083303C"/>
    <w:rPr>
      <w:rFonts w:cs="Times New Roman"/>
    </w:rPr>
  </w:style>
  <w:style w:type="paragraph" w:styleId="BalloonText">
    <w:name w:val="Balloon Text"/>
    <w:basedOn w:val="Normal"/>
    <w:link w:val="BalloonTextChar"/>
    <w:uiPriority w:val="99"/>
    <w:semiHidden/>
    <w:unhideWhenUsed/>
    <w:rsid w:val="00205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E8"/>
    <w:rPr>
      <w:rFonts w:ascii="Segoe UI" w:hAnsi="Segoe UI" w:cs="Segoe UI"/>
      <w:sz w:val="18"/>
      <w:szCs w:val="18"/>
    </w:rPr>
  </w:style>
  <w:style w:type="paragraph" w:customStyle="1" w:styleId="Default">
    <w:name w:val="Default"/>
    <w:rsid w:val="007115D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8126E"/>
    <w:rPr>
      <w:sz w:val="16"/>
      <w:szCs w:val="16"/>
    </w:rPr>
  </w:style>
  <w:style w:type="paragraph" w:styleId="CommentText">
    <w:name w:val="annotation text"/>
    <w:basedOn w:val="Normal"/>
    <w:link w:val="CommentTextChar"/>
    <w:uiPriority w:val="99"/>
    <w:semiHidden/>
    <w:unhideWhenUsed/>
    <w:rsid w:val="0078126E"/>
    <w:pPr>
      <w:spacing w:line="240" w:lineRule="auto"/>
    </w:pPr>
    <w:rPr>
      <w:sz w:val="20"/>
      <w:szCs w:val="20"/>
    </w:rPr>
  </w:style>
  <w:style w:type="character" w:customStyle="1" w:styleId="CommentTextChar">
    <w:name w:val="Comment Text Char"/>
    <w:basedOn w:val="DefaultParagraphFont"/>
    <w:link w:val="CommentText"/>
    <w:uiPriority w:val="99"/>
    <w:semiHidden/>
    <w:rsid w:val="0078126E"/>
    <w:rPr>
      <w:sz w:val="20"/>
      <w:szCs w:val="20"/>
    </w:rPr>
  </w:style>
  <w:style w:type="paragraph" w:styleId="CommentSubject">
    <w:name w:val="annotation subject"/>
    <w:basedOn w:val="CommentText"/>
    <w:next w:val="CommentText"/>
    <w:link w:val="CommentSubjectChar"/>
    <w:uiPriority w:val="99"/>
    <w:semiHidden/>
    <w:unhideWhenUsed/>
    <w:rsid w:val="0078126E"/>
    <w:rPr>
      <w:b/>
      <w:bCs/>
    </w:rPr>
  </w:style>
  <w:style w:type="character" w:customStyle="1" w:styleId="CommentSubjectChar">
    <w:name w:val="Comment Subject Char"/>
    <w:basedOn w:val="CommentTextChar"/>
    <w:link w:val="CommentSubject"/>
    <w:uiPriority w:val="99"/>
    <w:semiHidden/>
    <w:rsid w:val="0078126E"/>
    <w:rPr>
      <w:b/>
      <w:bCs/>
      <w:sz w:val="20"/>
      <w:szCs w:val="20"/>
    </w:rPr>
  </w:style>
  <w:style w:type="character" w:styleId="FollowedHyperlink">
    <w:name w:val="FollowedHyperlink"/>
    <w:basedOn w:val="DefaultParagraphFont"/>
    <w:uiPriority w:val="99"/>
    <w:semiHidden/>
    <w:unhideWhenUsed/>
    <w:rsid w:val="001B6D2B"/>
    <w:rPr>
      <w:color w:val="954F72" w:themeColor="followedHyperlink"/>
      <w:u w:val="single"/>
    </w:rPr>
  </w:style>
  <w:style w:type="character" w:customStyle="1" w:styleId="Heading1Char">
    <w:name w:val="Heading 1 Char"/>
    <w:basedOn w:val="DefaultParagraphFont"/>
    <w:link w:val="Heading1"/>
    <w:uiPriority w:val="9"/>
    <w:rsid w:val="007D561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D5610"/>
  </w:style>
  <w:style w:type="character" w:customStyle="1" w:styleId="Heading3Char">
    <w:name w:val="Heading 3 Char"/>
    <w:basedOn w:val="DefaultParagraphFont"/>
    <w:link w:val="Heading3"/>
    <w:uiPriority w:val="9"/>
    <w:semiHidden/>
    <w:rsid w:val="001629E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0143">
      <w:bodyDiv w:val="1"/>
      <w:marLeft w:val="0"/>
      <w:marRight w:val="0"/>
      <w:marTop w:val="0"/>
      <w:marBottom w:val="0"/>
      <w:divBdr>
        <w:top w:val="none" w:sz="0" w:space="0" w:color="auto"/>
        <w:left w:val="none" w:sz="0" w:space="0" w:color="auto"/>
        <w:bottom w:val="none" w:sz="0" w:space="0" w:color="auto"/>
        <w:right w:val="none" w:sz="0" w:space="0" w:color="auto"/>
      </w:divBdr>
    </w:div>
    <w:div w:id="57481026">
      <w:bodyDiv w:val="1"/>
      <w:marLeft w:val="0"/>
      <w:marRight w:val="0"/>
      <w:marTop w:val="0"/>
      <w:marBottom w:val="0"/>
      <w:divBdr>
        <w:top w:val="none" w:sz="0" w:space="0" w:color="auto"/>
        <w:left w:val="none" w:sz="0" w:space="0" w:color="auto"/>
        <w:bottom w:val="none" w:sz="0" w:space="0" w:color="auto"/>
        <w:right w:val="none" w:sz="0" w:space="0" w:color="auto"/>
      </w:divBdr>
    </w:div>
    <w:div w:id="498545764">
      <w:bodyDiv w:val="1"/>
      <w:marLeft w:val="0"/>
      <w:marRight w:val="0"/>
      <w:marTop w:val="0"/>
      <w:marBottom w:val="0"/>
      <w:divBdr>
        <w:top w:val="none" w:sz="0" w:space="0" w:color="auto"/>
        <w:left w:val="none" w:sz="0" w:space="0" w:color="auto"/>
        <w:bottom w:val="none" w:sz="0" w:space="0" w:color="auto"/>
        <w:right w:val="none" w:sz="0" w:space="0" w:color="auto"/>
      </w:divBdr>
    </w:div>
    <w:div w:id="578290483">
      <w:bodyDiv w:val="1"/>
      <w:marLeft w:val="0"/>
      <w:marRight w:val="0"/>
      <w:marTop w:val="0"/>
      <w:marBottom w:val="0"/>
      <w:divBdr>
        <w:top w:val="none" w:sz="0" w:space="0" w:color="auto"/>
        <w:left w:val="none" w:sz="0" w:space="0" w:color="auto"/>
        <w:bottom w:val="none" w:sz="0" w:space="0" w:color="auto"/>
        <w:right w:val="none" w:sz="0" w:space="0" w:color="auto"/>
      </w:divBdr>
    </w:div>
    <w:div w:id="706374544">
      <w:bodyDiv w:val="1"/>
      <w:marLeft w:val="0"/>
      <w:marRight w:val="0"/>
      <w:marTop w:val="0"/>
      <w:marBottom w:val="0"/>
      <w:divBdr>
        <w:top w:val="none" w:sz="0" w:space="0" w:color="auto"/>
        <w:left w:val="none" w:sz="0" w:space="0" w:color="auto"/>
        <w:bottom w:val="none" w:sz="0" w:space="0" w:color="auto"/>
        <w:right w:val="none" w:sz="0" w:space="0" w:color="auto"/>
      </w:divBdr>
    </w:div>
    <w:div w:id="1081633672">
      <w:bodyDiv w:val="1"/>
      <w:marLeft w:val="0"/>
      <w:marRight w:val="0"/>
      <w:marTop w:val="0"/>
      <w:marBottom w:val="0"/>
      <w:divBdr>
        <w:top w:val="none" w:sz="0" w:space="0" w:color="auto"/>
        <w:left w:val="none" w:sz="0" w:space="0" w:color="auto"/>
        <w:bottom w:val="none" w:sz="0" w:space="0" w:color="auto"/>
        <w:right w:val="none" w:sz="0" w:space="0" w:color="auto"/>
      </w:divBdr>
    </w:div>
    <w:div w:id="1398745219">
      <w:bodyDiv w:val="1"/>
      <w:marLeft w:val="0"/>
      <w:marRight w:val="0"/>
      <w:marTop w:val="0"/>
      <w:marBottom w:val="0"/>
      <w:divBdr>
        <w:top w:val="none" w:sz="0" w:space="0" w:color="auto"/>
        <w:left w:val="none" w:sz="0" w:space="0" w:color="auto"/>
        <w:bottom w:val="none" w:sz="0" w:space="0" w:color="auto"/>
        <w:right w:val="none" w:sz="0" w:space="0" w:color="auto"/>
      </w:divBdr>
    </w:div>
    <w:div w:id="1569534377">
      <w:bodyDiv w:val="1"/>
      <w:marLeft w:val="0"/>
      <w:marRight w:val="0"/>
      <w:marTop w:val="0"/>
      <w:marBottom w:val="0"/>
      <w:divBdr>
        <w:top w:val="none" w:sz="0" w:space="0" w:color="auto"/>
        <w:left w:val="none" w:sz="0" w:space="0" w:color="auto"/>
        <w:bottom w:val="none" w:sz="0" w:space="0" w:color="auto"/>
        <w:right w:val="none" w:sz="0" w:space="0" w:color="auto"/>
      </w:divBdr>
    </w:div>
    <w:div w:id="1907446166">
      <w:bodyDiv w:val="1"/>
      <w:marLeft w:val="0"/>
      <w:marRight w:val="0"/>
      <w:marTop w:val="0"/>
      <w:marBottom w:val="0"/>
      <w:divBdr>
        <w:top w:val="none" w:sz="0" w:space="0" w:color="auto"/>
        <w:left w:val="none" w:sz="0" w:space="0" w:color="auto"/>
        <w:bottom w:val="none" w:sz="0" w:space="0" w:color="auto"/>
        <w:right w:val="none" w:sz="0" w:space="0" w:color="auto"/>
      </w:divBdr>
    </w:div>
    <w:div w:id="2004045629">
      <w:bodyDiv w:val="1"/>
      <w:marLeft w:val="0"/>
      <w:marRight w:val="0"/>
      <w:marTop w:val="0"/>
      <w:marBottom w:val="0"/>
      <w:divBdr>
        <w:top w:val="none" w:sz="0" w:space="0" w:color="auto"/>
        <w:left w:val="none" w:sz="0" w:space="0" w:color="auto"/>
        <w:bottom w:val="none" w:sz="0" w:space="0" w:color="auto"/>
        <w:right w:val="none" w:sz="0" w:space="0" w:color="auto"/>
      </w:divBdr>
    </w:div>
    <w:div w:id="21086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health.gov/dietaryguidelines/2015-scientific-report/04-integration.asp" TargetMode="External"/><Relationship Id="rId13" Type="http://schemas.openxmlformats.org/officeDocument/2006/relationships/hyperlink" Target="http://cspinet.org/new/pdf/Alternatives_to_Withholding_Recess.pdf" TargetMode="External"/><Relationship Id="rId18" Type="http://schemas.openxmlformats.org/officeDocument/2006/relationships/hyperlink" Target="http://www.doe.in.gov/sites/default/files/nutrition/complete-application-packet.pdf" TargetMode="External"/><Relationship Id="rId3" Type="http://schemas.openxmlformats.org/officeDocument/2006/relationships/hyperlink" Target="http://www.rwjf.org/content/dam/farm/reports/issue_briefs/2013/rwjf404852" TargetMode="External"/><Relationship Id="rId7" Type="http://schemas.openxmlformats.org/officeDocument/2006/relationships/hyperlink" Target="http://www.fns.usda.gov/sites/default/files/SP10-2012v8os.pdf" TargetMode="External"/><Relationship Id="rId12" Type="http://schemas.openxmlformats.org/officeDocument/2006/relationships/hyperlink" Target="http://nrckids.org/default/assets/file/products/ashw/regulations_report_2010.pdf" TargetMode="External"/><Relationship Id="rId17" Type="http://schemas.openxmlformats.org/officeDocument/2006/relationships/hyperlink" Target="http://www.education.mn.gov/MDE/SchSup/FNS/CACFPCenter/FoodServOp/MenusCrediting/057530" TargetMode="External"/><Relationship Id="rId2" Type="http://schemas.openxmlformats.org/officeDocument/2006/relationships/hyperlink" Target="http://nrckids.org/index.cfm/resources/state-licensing-and-regulation-information/mississippi-regulations/" TargetMode="External"/><Relationship Id="rId16" Type="http://schemas.openxmlformats.org/officeDocument/2006/relationships/hyperlink" Target="https://healthykidshealthyfuture.org/5-healthy-goals/improve-food-choices/" TargetMode="External"/><Relationship Id="rId20" Type="http://schemas.openxmlformats.org/officeDocument/2006/relationships/hyperlink" Target="https://www.health.ny.gov/publications/1377.pdf" TargetMode="External"/><Relationship Id="rId1" Type="http://schemas.openxmlformats.org/officeDocument/2006/relationships/hyperlink" Target="http://nrckids.org/index.cfm/resources/state-licensing-and-regulation-information/rhode-island-regulations/" TargetMode="External"/><Relationship Id="rId6" Type="http://schemas.openxmlformats.org/officeDocument/2006/relationships/hyperlink" Target="http://www.nccor.org/downloads/jada2010.pdf" TargetMode="External"/><Relationship Id="rId11" Type="http://schemas.openxmlformats.org/officeDocument/2006/relationships/hyperlink" Target="http://cfoc.nrckids.org/" TargetMode="External"/><Relationship Id="rId5" Type="http://schemas.openxmlformats.org/officeDocument/2006/relationships/hyperlink" Target="http://frac.org/pdf/cacfp_case_study_florida_higher_standards.pdf" TargetMode="External"/><Relationship Id="rId15" Type="http://schemas.openxmlformats.org/officeDocument/2006/relationships/hyperlink" Target="http://nrckids.org/default/assets/File/StateRegs/NJ/1_NJ_CCCmanual_122.pdf" TargetMode="External"/><Relationship Id="rId10" Type="http://schemas.openxmlformats.org/officeDocument/2006/relationships/hyperlink" Target="http://frac.org/pdf/cacfp_nc_case_study.pdf" TargetMode="External"/><Relationship Id="rId19" Type="http://schemas.openxmlformats.org/officeDocument/2006/relationships/hyperlink" Target="http://healthymeals.nal.usda.gov/hsmrs/Delaware/nhpsmenuplanning.pdf" TargetMode="External"/><Relationship Id="rId4" Type="http://schemas.openxmlformats.org/officeDocument/2006/relationships/hyperlink" Target="http://nrckids.org/default/assets/File/StateRegs/NC/March%202015%20DCDEE%20Rulebook.pdf" TargetMode="External"/><Relationship Id="rId9" Type="http://schemas.openxmlformats.org/officeDocument/2006/relationships/hyperlink" Target="http://www.dannon.com/partnership-for-healthy-america/" TargetMode="External"/><Relationship Id="rId14" Type="http://schemas.openxmlformats.org/officeDocument/2006/relationships/hyperlink" Target="http://www.niost.org/pdf/host/Healthy_Eating_and_Physical_Activity_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Rad14</b:Tag>
    <b:SourceType>JournalArticle</b:SourceType>
    <b:Guid>{C0B862F0-298A-421B-B8BC-AC2D6F270EF9}</b:Guid>
    <b:Author>
      <b:Author>
        <b:NameList>
          <b:Person>
            <b:Last>Rader</b:Last>
            <b:Middle>K</b:Middle>
            <b:First>R</b:First>
          </b:Person>
          <b:Person>
            <b:Last>Mullen</b:Last>
            <b:Middle>B</b:Middle>
            <b:First>K</b:First>
          </b:Person>
          <b:Person>
            <b:Last>Sterkel</b:Last>
            <b:First>R</b:First>
          </b:Person>
          <b:Person>
            <b:Last>et al.</b:Last>
          </b:Person>
        </b:NameList>
      </b:Author>
    </b:Author>
    <b:Title>Opportunities to Reduce Children's Excessive Consumption of Calories from Beverages</b:Title>
    <b:Year>2014</b:Year>
    <b:JournalName>Clinical Pediatrics</b:JournalName>
    <b:Pages>1047-54</b:Pages>
    <b:RefOrder>1</b:RefOrder>
  </b:Source>
  <b:Source>
    <b:Tag>USD10</b:Tag>
    <b:SourceType>Report</b:SourceType>
    <b:Guid>{E3F81D43-3CAD-4B06-B2EE-CFEFC1D79054}</b:Guid>
    <b:Author>
      <b:Author>
        <b:NameList>
          <b:Person>
            <b:Last>U.S. Department of Agriculture</b:Last>
          </b:Person>
          <b:Person>
            <b:Last>U.S. Department of Health and Human Services</b:Last>
          </b:Person>
        </b:NameList>
      </b:Author>
    </b:Author>
    <b:Title>Dietary Guidelines for Americans, 2010</b:Title>
    <b:Year>2010</b:Year>
    <b:Publisher>U.S. Government Printing Office</b:Publisher>
    <b:City>Washington, D.C.</b:City>
    <b:RefOrder>2</b:RefOrder>
  </b:Source>
  <b:Source>
    <b:Tag>Nat15</b:Tag>
    <b:SourceType>InternetSite</b:SourceType>
    <b:Guid>{ECE8FEE4-C4FD-42FA-B42F-7BA968680DD9}</b:Guid>
    <b:Title>Rhode Island Regulations</b:Title>
    <b:Year>2015</b:Year>
    <b:Author>
      <b:Author>
        <b:NameList>
          <b:Person>
            <b:Last>Education</b:Last>
            <b:First>National</b:First>
            <b:Middle>Resource Center for Health and Safety in Child Care and Early</b:Middle>
          </b:Person>
        </b:NameList>
      </b:Author>
    </b:Author>
    <b:InternetSiteTitle>Improving the Quality of Out-Of-Home Child Care and Early Education</b:InternetSiteTitle>
    <b:Month>April</b:Month>
    <b:Day>2</b:Day>
    <b:URL>http://nrckids.org/index.cfm/resources/state-licensing-and-regulation-information/rhode-island-regulations/</b:URL>
    <b:RefOrder>3</b:RefOrder>
  </b:Source>
  <b:Source>
    <b:Tag>Ame12</b:Tag>
    <b:SourceType>JournalArticle</b:SourceType>
    <b:Guid>{491A2B79-4A96-47BA-835A-7295C8DAD26B}</b:Guid>
    <b:Title>Policy Statement Breastfeeding and the Use of Human Milk</b:Title>
    <b:Year>March 2012</b:Year>
    <b:Pages>e827-e841</b:Pages>
    <b:JournalName>Pediatrics</b:JournalName>
    <b:Author>
      <b:Author>
        <b:NameList>
          <b:Person>
            <b:Last>American Academy of Pediatrics</b:Last>
          </b:Person>
        </b:NameList>
      </b:Author>
    </b:Author>
    <b:RefOrder>4</b:RefOrder>
  </b:Source>
</b:Sources>
</file>

<file path=customXml/itemProps1.xml><?xml version="1.0" encoding="utf-8"?>
<ds:datastoreItem xmlns:ds="http://schemas.openxmlformats.org/officeDocument/2006/customXml" ds:itemID="{880B8A14-27B1-4248-B9E0-2EEACFE7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Bishop</dc:creator>
  <cp:lastModifiedBy>rparsons</cp:lastModifiedBy>
  <cp:revision>3</cp:revision>
  <cp:lastPrinted>2015-05-22T19:38:00Z</cp:lastPrinted>
  <dcterms:created xsi:type="dcterms:W3CDTF">2015-05-22T19:23:00Z</dcterms:created>
  <dcterms:modified xsi:type="dcterms:W3CDTF">2015-05-22T19:39:00Z</dcterms:modified>
</cp:coreProperties>
</file>